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69" w:rsidRDefault="00502E69">
      <w:pPr>
        <w:spacing w:line="360" w:lineRule="auto"/>
        <w:jc w:val="center"/>
        <w:outlineLvl w:val="0"/>
        <w:rPr>
          <w:rFonts w:ascii="黑体" w:eastAsia="黑体" w:hAnsi="黑体" w:cs="黑体"/>
          <w:bCs/>
          <w:sz w:val="32"/>
          <w:szCs w:val="32"/>
        </w:rPr>
      </w:pPr>
      <w:r w:rsidRPr="00502E69">
        <w:rPr>
          <w:rFonts w:ascii="黑体" w:eastAsia="黑体" w:hAnsi="黑体" w:cs="黑体" w:hint="eastAsia"/>
          <w:bCs/>
          <w:sz w:val="32"/>
          <w:szCs w:val="32"/>
        </w:rPr>
        <w:t>青浦区人民政府教育督导室</w:t>
      </w:r>
      <w:r w:rsidR="0035333E">
        <w:rPr>
          <w:rFonts w:ascii="黑体" w:eastAsia="黑体" w:hAnsi="黑体" w:cs="黑体" w:hint="eastAsia"/>
          <w:bCs/>
          <w:sz w:val="32"/>
          <w:szCs w:val="32"/>
        </w:rPr>
        <w:t>关于对青浦区重固小学</w:t>
      </w:r>
    </w:p>
    <w:p w:rsidR="00D42714" w:rsidRDefault="0035333E">
      <w:pPr>
        <w:spacing w:line="360" w:lineRule="auto"/>
        <w:jc w:val="center"/>
        <w:outlineLvl w:val="0"/>
        <w:rPr>
          <w:rFonts w:ascii="华文仿宋" w:eastAsia="华文仿宋" w:hAnsi="华文仿宋" w:cs="华文仿宋"/>
          <w:b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发展性教育综合督导评价的意见书</w:t>
      </w:r>
    </w:p>
    <w:p w:rsidR="00D42714" w:rsidRDefault="00D42714">
      <w:pPr>
        <w:spacing w:line="360" w:lineRule="auto"/>
      </w:pP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导评价》要求，青浦区教育督导室组织专家组一行于2024年5月27日，对青浦区重固小学开展了发展性教育综合督导评价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期间，专家组听取了周立校长题为“围绕问题抓整改提升品质促发展”的自评报告，访谈了正副校长、书记、中层干部、教师等共14人次，召开年级组长和班主任、教研组长和教师、学生等3个座谈会共21人次参加，观课6节，查阅了学校相关自评信息及档案资料，对102名教师、101名学生、104名家长、51名社区代表进行了问卷调查，共获取原始数据9455余条，比较全面地了解了青浦区重固小学近三年的发展情况。依据本次发展性教育综合督导评价指标，专家组在汇总分析各类信息的基础上，形成了如下意见：</w:t>
      </w:r>
    </w:p>
    <w:p w:rsidR="00D42714" w:rsidRDefault="0035333E" w:rsidP="00893F58">
      <w:pPr>
        <w:spacing w:beforeLines="50" w:afterLines="50"/>
        <w:ind w:firstLineChars="200" w:firstLine="560"/>
        <w:outlineLvl w:val="0"/>
        <w:rPr>
          <w:rFonts w:ascii="华文仿宋" w:eastAsia="华文仿宋" w:hAnsi="华文仿宋" w:cs="华文仿宋"/>
          <w:b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 w:val="28"/>
          <w:szCs w:val="28"/>
        </w:rPr>
        <w:t>一、基本情况与评价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传承百年老校历史积淀，强化新时代党建工作，践行“修身智学健体怡情”的办学理念，编制和推进发展规划实施，保预设目标总体达成。学校依法规范办学，注重“五德”文化价值引领。架构“福泉课程”，推行“小主综”活动课程建设，探索跨学科、项目化学习，努力打造“师德优良、业务精湛”的骨干名师；构建学校主导的三位一体育人格局，逐步做强篮球、足球、版画等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体艺特色项目，挖掘“福泉山遗址”的育人功能，润泽“仁爱、正直、智学、勇敢、纯真”的福泉美德少年。学校保持平稳有序发展，办学质量得到学生、家长和社区认可。</w:t>
      </w:r>
    </w:p>
    <w:p w:rsidR="00D42714" w:rsidRDefault="0035333E" w:rsidP="00893F58">
      <w:pPr>
        <w:spacing w:beforeLines="50" w:afterLines="50"/>
        <w:ind w:firstLineChars="200" w:firstLine="600"/>
        <w:outlineLvl w:val="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二、主要工作与成效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（一）学校治理</w:t>
      </w:r>
    </w:p>
    <w:p w:rsidR="00D42714" w:rsidRDefault="0035333E">
      <w:pPr>
        <w:pStyle w:val="1"/>
        <w:ind w:firstLine="561"/>
        <w:outlineLvl w:val="2"/>
        <w:rPr>
          <w:rFonts w:ascii="华文仿宋" w:eastAsia="华文仿宋" w:hAnsi="华文仿宋" w:cs="华文仿宋"/>
          <w:b/>
          <w:kern w:val="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kern w:val="0"/>
          <w:sz w:val="28"/>
          <w:szCs w:val="28"/>
        </w:rPr>
        <w:t>1.加强党的建设，注重全面育人，落实立德树人根本任务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学校推进党组织领导的校长负责制试点校建设，不断建立健全党建工作机制，积极发挥党建引领作用。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完成章程修订，加强党建制度建设。制定“党支部领导的校长负责制改革方案”，配套“党支部会议议事规则”“校长办公会议事规则”，修订完成学校章程等，从制度上明确党组织的领导地位和作用。二是扎实“过程党建”，注重党风廉政，强化政治思想建设。以“清廉教育”为抓手，落实党风廉政责任制。通过开学思政第一课、各类主题教育、道德与法治课等渠道，积极推进“大思政一体化”项目。三是组织党团员教师给学生讲红色故事，党团队共建，开展学雷锋志愿活动等，培养社会主义建设者和接班人。四是发挥党支部的战斗堡垒作用，组织全校教职工在志愿服务、教改实践等方面发挥先锋模范作用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学校坚持德育为先，五育并举，促学生全面发展健康成长，把立德树人融入思想道德教育、文化知识教育、社会实践教育等环节。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一是聚焦育人目标，构建育人体系。明确培养“仁爱、正直、智学、勇敢、纯真的福泉美德少年”的育人目标。构建了以学校为主导的“三位一体”育人格局，打造班主任和全员导师为主体的育人队伍。二是着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重加强规养成和良好品德教育；强化课堂主导、活动育人，通过主题教育、社会实践、节庆活动、社团课程等，加强核心价值观、传统优秀文化教育，法治教育、劳动教育和美育。三是落实“双减”“五项管理”，减轻过重学业负担；做好课后服务，丰富学习体验。规范开展体育体段、心理健康教育，呵护学生健康成。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kern w:val="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kern w:val="0"/>
          <w:sz w:val="28"/>
          <w:szCs w:val="28"/>
        </w:rPr>
        <w:t>2.规划学校发展，保障师生权益，确保学校运行平稳有序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学校整体设计本轮发展目标和策略路径规划，以重点项目及条线主要工作推进为抓手，促进规划有序实施。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基于实际，在分析现有办学基础、资源优势及发展水平基础上，凝聚师生智慧，制定了主题词为“传承福泉文化提升学校品质”的学校十四五发展规划。二是以规划研制为契机，明确了办学理念、校训、发展目标、培养目标等价值、目标系统和实施策略，拟定了重点发展项目。并通过目标分解，形成分年度达成细目表，落实于学期工作计划之中。三是成立规划实施领导小组，负责发展规划实施过程的监督、检查、指导、评价。以领导及中层年度述职的形式，评估目标达成情况，提交教代会审议。结合督导部门的外部中期评估，进行调整优化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学校注重制度建设，依法规范自主办学，逐步健全家庭、社区参与学校治理、协同育人的工作机制，凝聚育人合力。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编制了以章程统领下的内部规章制度系列，形成《青浦区重固小学规章制度汇编》，并根据“立改废”工作方案，及时进行部分制度的修订、废止或新建。二是注重开放办学、挖掘多方教育资源。邀请家委会代表、镇团委负责人等共商学校重大事宜，与社区进行党建联建活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动，引进镇派出所、禁毒办、红十字会等社会资源，共同支持学生发展。三是注重民主管理，保障师生员工合法权益。工会、教代会有效履职。学校发展、绩效考评、职称评审等重大事项，广泛讨论、民主决策。聘请法制副校长和法律顾问，用法律武器保护好师生合法权益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（二）德育文化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1.促进全面发展，呵护身心健康，努力培育重固美德少年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u w:color="000000"/>
        </w:rPr>
        <w:t>学</w:t>
      </w:r>
      <w:r>
        <w:rPr>
          <w:rFonts w:ascii="华文仿宋" w:eastAsia="华文仿宋" w:hAnsi="华文仿宋" w:cs="华文仿宋" w:hint="eastAsia"/>
          <w:sz w:val="28"/>
          <w:szCs w:val="28"/>
        </w:rPr>
        <w:t>校利用在地资源“福泉山遗址”文化，建设《福泉润德》德育课程，开展德智体美劳五育融合一的育人实践。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构建《分年段行为规范养成教育目标框架》，制作“行为规范教育短视频”，制定“美德少年评价方案”等，帮助学生养成良好行为习惯和道德品行。二是规范课程教学，培养良好学习习惯，促进学业发展。举办校园科技节，鼓励学生开展科学探究实践、参加区科创达人竞赛等，培养创新实践能力。三是开设竖笛、非洲鼓等艺术社团，鼓励学生艺术创作，组织参加市、区和社区的比赛展演，提升学生的艺术修养和艺术表现力。四是将“劳动体验”纳入《福泉润德》课程，设计劳动教育系列活动，开辟劳动基地，开展“打卡”争章、“劳动实践小达人”评选等，培养劳动习惯。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健全校园心理危机预防与干预网络，开设心理健康教育课程，通过组织开展心理健康教育活动月活动，医教结合、提供心理咨询服务等，促进学生心理健康。落实体育体锻课，开展阳光体育运动，设立足球、篮球类体育社团、参加体育类比赛竞技等，培养体锻习惯、提高学生的身体素质。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2.打造育人环境，丰富活动体验，发挥“五德”价值引领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注重校园文化的物化表达。把福泉山先人的“五德”——“仁、义、智、勇、洁”作为校园文化核心价值融入到校园文化建设中，发挥过“五德”文化石、校园廊道、文化宣传栏等的润泽功能。通过学习型组织创建、绿色校园争创、文明组室争创、文明班级争创、劳动小达人和“福泉美德少年”、少先队评优等形式，积极开展“学园、花园、乐园、家园”的校园文化活动，营造“团结、奉献、进取”的校园氛围。学校积极整合区域内各类资源，开发校外实践基地，拓展活动园地，注重校内知识理论与校外拓展教育相融合，将研究性学习和实践性学习相结合，培育“尊重、理解、信任”的校园文化精神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（三）课程教学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1.依据课程计划，聚焦核心素养，系统规划学校课程建设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立足时代要求和学校实际，系统架构纵向衔接、横向贯通的“福泉课程”。编制课程实施计划，开齐开足三类课程，控制周课时总量。学校精心实施基础型课程，积极开发拓展型、探究型课程。开发了福泉润“德”、福泉润“智”、福泉润“体”、福泉润“艺”、福泉润“言”、福泉润“行”等六大课程系列，共30多门；形成了《版画》《快乐篮球》等多门特色课程，能力满足学生多样化的课程选择。学校积极推进“大思政课”建设，完善思政课程体系，并将思政元素融入学科教学之中。积极探索跨学科课程和“小主综”活动课程建设，帮助学生进行跨学科、跨领域的知识运用，培养解决问题的综合能力。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2.加强常规管理，加强教学研究，探索课堂教学方式变革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学校探索基于过程的教育质量综合评价，开展基于教学改进的质量分析。定期进行教学常规检查和诊断，加强对检测结果的分析与运用，形成备课、上课、作业、辅导、评价等常规管理闭环，促进教学改进，提高教学质量。学校控量提质，不断完善校本化作业体系建设，建立校本化题库，形成了作业管理长效机制，力保作业布置适量、批改准时、及时反馈及时辅导。各学科每学期制定教研主题，通过政策理论学习，常规工作反馈，听课研讨、三实践两反思等，不断提升教研活动质量。每年举办教学节，通过青年教师课堂评比、名优教师教学展示等，共同探索课堂教学改革。学校把研读课程标准作为教研重点，以大单元教学为导向，整体设计教学环节、课堂练习和课后作业；以多维度、多主体、全过程评价，提升“教-学-练-评”的一致性，逐步落实“双新”课改要求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（四）师资建设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color w:val="000000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b/>
          <w:bCs/>
          <w:color w:val="000000"/>
          <w:sz w:val="28"/>
          <w:szCs w:val="28"/>
          <w:u w:color="000000"/>
        </w:rPr>
        <w:t>1.加强师德建设，加强师资管理，努力保障师资规范配备</w:t>
      </w:r>
    </w:p>
    <w:p w:rsidR="00D42714" w:rsidRDefault="0035333E">
      <w:pPr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将“师德为先”作为教师队伍建设的根本遵循。以“关爱学生、严谨笃学、淡泊名利、自尊自律”的师德建设要求为指引，制定师德师风建设计划，依托师德师风建设项目，不断提高教师的人文素养和师德水平。制定师德规范条例，签订《师德师风承诺书》、开展“1+N”模式的师德培训，帮助教师在坚守师德要求的同时，学习师德榜样的先进事迹，增强规范从教的意识和教书育人的使命感。学校努力优化教师管理。制定《重固小学岗位设置方案》，与教师签订岗位聘任合同，按制度落实教师、班主任岗位聘用和职称评聘、评优评先、绩效考核等。学校配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足思政课、心理健康教育专职教师教师，教师任职条件、学历情况达标，教师年龄、学科、职称等比例相对合理。</w:t>
      </w:r>
    </w:p>
    <w:p w:rsidR="00D42714" w:rsidRDefault="0035333E">
      <w:pPr>
        <w:snapToGrid w:val="0"/>
        <w:ind w:firstLine="560"/>
        <w:outlineLvl w:val="2"/>
        <w:rPr>
          <w:rFonts w:ascii="华文仿宋" w:eastAsia="华文仿宋" w:hAnsi="华文仿宋" w:cs="华文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kern w:val="0"/>
          <w:sz w:val="28"/>
          <w:szCs w:val="28"/>
        </w:rPr>
        <w:t>2.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注重分层培养，搭建支持平台</w:t>
      </w:r>
      <w:r>
        <w:rPr>
          <w:rFonts w:ascii="华文仿宋" w:eastAsia="华文仿宋" w:hAnsi="华文仿宋" w:cs="华文仿宋" w:hint="eastAsia"/>
          <w:b/>
          <w:bCs/>
          <w:kern w:val="0"/>
          <w:sz w:val="28"/>
          <w:szCs w:val="28"/>
        </w:rPr>
        <w:t>，助推全体教师专业进步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kern w:val="0"/>
          <w:sz w:val="28"/>
          <w:szCs w:val="28"/>
        </w:rPr>
        <w:t>学校建立发展梯队，构建</w:t>
      </w:r>
      <w:r>
        <w:rPr>
          <w:rFonts w:ascii="华文仿宋" w:eastAsia="华文仿宋" w:hAnsi="华文仿宋" w:cs="华文仿宋" w:hint="eastAsia"/>
          <w:sz w:val="28"/>
          <w:szCs w:val="28"/>
        </w:rPr>
        <w:t>分层分类培养机制，促进全体教师在原有基础上的最优发展</w:t>
      </w:r>
      <w:r>
        <w:rPr>
          <w:rFonts w:ascii="华文仿宋" w:eastAsia="华文仿宋" w:hAnsi="华文仿宋" w:cs="华文仿宋" w:hint="eastAsia"/>
          <w:kern w:val="0"/>
          <w:sz w:val="28"/>
          <w:szCs w:val="28"/>
        </w:rPr>
        <w:t>。</w:t>
      </w:r>
      <w:r>
        <w:rPr>
          <w:rFonts w:ascii="华文仿宋" w:eastAsia="华文仿宋" w:hAnsi="华文仿宋" w:cs="华文仿宋" w:hint="eastAsia"/>
          <w:sz w:val="28"/>
          <w:szCs w:val="28"/>
        </w:rPr>
        <w:t>一是重点加大后备干部和青年教师的培养力度。完善新进教师培养发展计划，制定青年教师个人发展规划，通过专门培训、教学评比、分层交流等，有效促进青年教师的专业成长。二是不断壮大区“名优教师”队伍。提出打造“师德优良、业务精湛”的骨干名师的目标，发挥现有“名优教师”、教育科研的示范引领作用，通过参与各级各类基本功大赛和专业研讨活动等，提升“资深”教师的专业品质和区域专业影响力。问卷调查显示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（五）安全后勤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sz w:val="28"/>
          <w:szCs w:val="28"/>
          <w:lang w:val="zh-TW" w:eastAsia="zh-TW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  <w:lang w:val="zh-TW" w:eastAsia="zh-TW"/>
        </w:rPr>
        <w:t>1.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统筹资源调配</w:t>
      </w:r>
      <w:r>
        <w:rPr>
          <w:rFonts w:ascii="华文仿宋" w:eastAsia="华文仿宋" w:hAnsi="华文仿宋" w:cs="华文仿宋" w:hint="eastAsia"/>
          <w:b/>
          <w:sz w:val="28"/>
          <w:szCs w:val="28"/>
          <w:lang w:val="zh-TW" w:eastAsia="zh-TW"/>
        </w:rPr>
        <w:t>，规范财资管理，提高经费使用的有效率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  <w:lang w:val="zh-TW" w:eastAsia="zh-TW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学校</w:t>
      </w:r>
      <w:r>
        <w:rPr>
          <w:rFonts w:ascii="华文仿宋" w:eastAsia="华文仿宋" w:hAnsi="华文仿宋" w:cs="华文仿宋" w:hint="eastAsia"/>
          <w:sz w:val="28"/>
          <w:szCs w:val="28"/>
        </w:rPr>
        <w:t>积极应对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校舍建</w:t>
      </w:r>
      <w:r>
        <w:rPr>
          <w:rFonts w:ascii="华文仿宋" w:eastAsia="华文仿宋" w:hAnsi="华文仿宋" w:cs="华文仿宋" w:hint="eastAsia"/>
          <w:sz w:val="28"/>
          <w:szCs w:val="28"/>
        </w:rPr>
        <w:t>成于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1999年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、</w:t>
      </w:r>
      <w:r>
        <w:rPr>
          <w:rFonts w:ascii="华文仿宋" w:eastAsia="华文仿宋" w:hAnsi="华文仿宋" w:cs="华文仿宋" w:hint="eastAsia"/>
          <w:sz w:val="28"/>
          <w:szCs w:val="28"/>
        </w:rPr>
        <w:t>校舍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相对比较陈旧</w:t>
      </w:r>
      <w:r>
        <w:rPr>
          <w:rFonts w:ascii="华文仿宋" w:eastAsia="华文仿宋" w:hAnsi="华文仿宋" w:cs="华文仿宋" w:hint="eastAsia"/>
          <w:sz w:val="28"/>
          <w:szCs w:val="28"/>
        </w:rPr>
        <w:t>的困难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通过努力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规划</w:t>
      </w:r>
      <w:r>
        <w:rPr>
          <w:rFonts w:ascii="华文仿宋" w:eastAsia="华文仿宋" w:hAnsi="华文仿宋" w:cs="华文仿宋" w:hint="eastAsia"/>
          <w:sz w:val="28"/>
          <w:szCs w:val="28"/>
        </w:rPr>
        <w:t>调配和内部挖潜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保障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教育教学需求。</w:t>
      </w:r>
      <w:r>
        <w:rPr>
          <w:rFonts w:ascii="华文仿宋" w:eastAsia="华文仿宋" w:hAnsi="华文仿宋" w:cs="华文仿宋" w:hint="eastAsia"/>
          <w:sz w:val="28"/>
          <w:szCs w:val="28"/>
        </w:rPr>
        <w:t>确保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均教学及辅助用房、</w:t>
      </w:r>
      <w:r>
        <w:rPr>
          <w:rFonts w:ascii="华文仿宋" w:eastAsia="华文仿宋" w:hAnsi="华文仿宋" w:cs="华文仿宋" w:hint="eastAsia"/>
          <w:sz w:val="28"/>
          <w:szCs w:val="28"/>
        </w:rPr>
        <w:t>体育场管面积，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多媒体教室数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音乐、美术专用教室数量和面积、生均教学仪器设备值均达到</w:t>
      </w:r>
      <w:r>
        <w:rPr>
          <w:rFonts w:ascii="华文仿宋" w:eastAsia="华文仿宋" w:hAnsi="华文仿宋" w:cs="华文仿宋" w:hint="eastAsia"/>
          <w:sz w:val="28"/>
          <w:szCs w:val="28"/>
        </w:rPr>
        <w:t>义务教育优质均衡标准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。能按规定配置随班就读学生的资源教室和无障碍设施。学校制定《内部控制规范手册》《财务管理制度》《总务后勤管理制度》，并能认真加以落实。能合理编制《学校预算》，并且执行率达100%。</w:t>
      </w:r>
      <w:r>
        <w:rPr>
          <w:rFonts w:ascii="华文仿宋" w:eastAsia="华文仿宋" w:hAnsi="华文仿宋" w:cs="华文仿宋" w:hint="eastAsia"/>
          <w:sz w:val="28"/>
          <w:szCs w:val="28"/>
        </w:rPr>
        <w:t>问卷调查显示，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99.04%的家长同意学校“收费项目合理、公开”。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  <w:lang w:val="zh-TW"/>
        </w:rPr>
        <w:t>2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.构筑安全防线，加强</w:t>
      </w:r>
      <w:r>
        <w:rPr>
          <w:rFonts w:ascii="华文仿宋" w:eastAsia="华文仿宋" w:hAnsi="华文仿宋" w:cs="华文仿宋" w:hint="eastAsia"/>
          <w:b/>
          <w:sz w:val="28"/>
          <w:szCs w:val="28"/>
          <w:lang w:val="zh-TW"/>
        </w:rPr>
        <w:t>安全教育，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全力保障师生校园安全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  <w:lang w:val="zh-TW"/>
        </w:rPr>
      </w:pP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lastRenderedPageBreak/>
        <w:t>学校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加强校园安全管理。一是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成立了由校长任组长的安全文明创建领导小组，组建了以校长室为龙头的校园安全文明管理网络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。</w:t>
      </w:r>
      <w:r>
        <w:rPr>
          <w:rFonts w:ascii="华文仿宋" w:eastAsia="华文仿宋" w:hAnsi="华文仿宋" w:cs="华文仿宋" w:hint="eastAsia"/>
          <w:sz w:val="28"/>
          <w:szCs w:val="28"/>
        </w:rPr>
        <w:t>二是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制定了《安全管理制度》《安全应急预案》，与各部门负责人、班主任、科任老师签订《安全责任书》，明确职责、强化责任。</w:t>
      </w:r>
      <w:r>
        <w:rPr>
          <w:rFonts w:ascii="华文仿宋" w:eastAsia="华文仿宋" w:hAnsi="华文仿宋" w:cs="华文仿宋" w:hint="eastAsia"/>
          <w:sz w:val="28"/>
          <w:szCs w:val="28"/>
        </w:rPr>
        <w:t>三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是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多种形式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开展以增强师生自护自救能力为目标的安全教育活动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和警示教育活动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，帮助学生提高安全意识，养成安全习惯。</w:t>
      </w:r>
      <w:r>
        <w:rPr>
          <w:rFonts w:ascii="华文仿宋" w:eastAsia="华文仿宋" w:hAnsi="华文仿宋" w:cs="华文仿宋" w:hint="eastAsia"/>
          <w:sz w:val="28"/>
          <w:szCs w:val="28"/>
        </w:rPr>
        <w:t>四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是多种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途径开展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预防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校园欺凌、性侵等专题教育活动，进一步加强未成年人保护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。</w:t>
      </w:r>
      <w:r>
        <w:rPr>
          <w:rFonts w:ascii="华文仿宋" w:eastAsia="华文仿宋" w:hAnsi="华文仿宋" w:cs="华文仿宋" w:hint="eastAsia"/>
          <w:sz w:val="28"/>
          <w:szCs w:val="28"/>
          <w:lang w:val="zh-TW" w:eastAsia="zh-TW"/>
        </w:rPr>
        <w:t>学校无重大安全事故发生</w:t>
      </w:r>
      <w:r>
        <w:rPr>
          <w:rFonts w:ascii="华文仿宋" w:eastAsia="华文仿宋" w:hAnsi="华文仿宋" w:cs="华文仿宋" w:hint="eastAsia"/>
          <w:sz w:val="28"/>
          <w:szCs w:val="28"/>
          <w:lang w:val="zh-TW"/>
        </w:rPr>
        <w:t>，被评为2021—2022年的“上海市安全文明校园”。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（六）重点发展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kern w:val="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kern w:val="0"/>
          <w:sz w:val="28"/>
          <w:szCs w:val="28"/>
        </w:rPr>
        <w:t>1.探索数字赋能，加强绿标引领，不断提升教育教学质量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制定《重固小学信息化工作三年行动计划》，组建网络与信息安全领导小组；建设校园网，利用信息技术，提升教育教学、家校联系的效能。制订“信息技术能力提升工程2.0”整校推进工作制度、“教师信息技术应用能力提升校本研修方案”。通过通识培训、场景运用等，不断厚实数字化转型的人力基础。用希沃、互动式教学软件等，开展线上线下混合教学，探索“技术创新课堂”。学校以问题为导向，针对“校长课程领导力”指数较低的现状，主动参加“课程领导力提升探索实践项目”的培训，撰写改进报告，多措并举提升校长课程领导力。以绿色价值观为引领，探索校本评价改革，从实践、体验和感悟的视角优化综合评价。围绕绿色指标反映的问题，开展主题教研，加强学法指导；建立学习成长个人档案，制定针对性的补缺补差计划，促进全体学生的共同发展。</w:t>
      </w:r>
    </w:p>
    <w:p w:rsidR="00D42714" w:rsidRDefault="0035333E">
      <w:pPr>
        <w:ind w:firstLineChars="200" w:firstLine="561"/>
        <w:outlineLvl w:val="2"/>
        <w:rPr>
          <w:rFonts w:ascii="华文仿宋" w:eastAsia="华文仿宋" w:hAnsi="华文仿宋" w:cs="华文仿宋"/>
          <w:b/>
          <w:kern w:val="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kern w:val="0"/>
          <w:sz w:val="28"/>
          <w:szCs w:val="28"/>
        </w:rPr>
        <w:lastRenderedPageBreak/>
        <w:t>2.利用在地资源，打造特色课程，逐步做强篮球版画项目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依托“福泉山遗址”文化，努力打造“福泉润德”特色课程，以课程领导力项目《实践课程的建构与探索》为引领，尝试统计学习方式变革，扎实开展“上善研学”活动。以优化“福泉”系列课程实施为路径，不断丰富课程资源，探索拓展类课程的跨科学课、项目化学习设计。以深入传承“福泉山遗址”文化为抓手，通过参观福泉山遗址、非遗文化体验、探访陈云故居等“上善研学”活动，弘扬区域优秀传统文化、红色文化等。学校发展以“足球”“篮球”为突破的体育运动项目，打造“版画”艺术特色项目，取得良好成效。一是加强专业培训，提高篮球、足球教师的专业化水平和训练水平，培养优秀的教练员队伍。二是注重学生运动队的梯队建设，选好运动员，有计划地做好训练、总结工作，保持了“区体育传统（篮球）项目学校”的优势，被认定为“全国青少年校园足球特色学校”。三是发挥区青少年民族文化（版画）培训点的优势，着力培养专业化的版画教师团队，以版画特色打造，培养学生的民族精神、艺术表现和审美能力。通过定期举办各种版画展览、比赛和交流活动，不断扩大区域影响力。</w:t>
      </w:r>
    </w:p>
    <w:p w:rsidR="00D42714" w:rsidRDefault="0035333E" w:rsidP="00893F58">
      <w:pPr>
        <w:spacing w:beforeLines="50" w:afterLines="50"/>
        <w:ind w:firstLineChars="200" w:firstLine="600"/>
        <w:outlineLvl w:val="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三、主要问题与建议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（一）学校精细化管理的水平亟需增强，适应学校特色发展、提升学习生活品质的办学条件有待进一步改善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建议学校一是以党建、学校管理、教师发展、家校社合作、校园安全等上位文件精神为指引，通过各级联动和部门协作，在计划制定与工作总结，制度更新与材料佐证，教师管理与发展支持等方面提高精细化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的管理水平。二是及时排摸、汇总和报备因设施设备老化可能造成的安全隐患，在相关部门支持下，尽快按标准落实安全保障硬件设备的配置和墙面、走廊、花坛边角等的及时修缮。三是将改善办学条件纳入学校保障重点项目，编制合理化的校园环境升级改造方案，通过自身挖潜和教育行政部门外部支持，为学生打造支持跨学科项目化学习和体现创新能力培养的学习场域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（二）在“双新”即将全面实施的背景下，学校的课程领导力需全面增强，“新课堂实验”的研究和实践，需进一步深化和提质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把制订符合“双新”要求的课程实施方案为提升课程领导力的突破口，深入分析学校课程所承载的育人价值，凝练形成既符合新时代教育要求、又体现校本特点的课程理念，统领学校课程建设。二是按照一课一纲要的课程开发要求，规范编制自主选择的拓展型课程纲要，提高课程开发与实施的质量。三是以评价为导向，以优质引领常态，探索课堂改进，激发学习的主动性和积极性，提升学生的自主学习能力。四是围绕“基于情境、问题导向、深度思维、高度参与”的区域教学改革总体要求，深入开展“新课堂实验”研究，成型“为学而教，少教多学，鼓励挑战性学习”的“新课堂”样态。</w:t>
      </w:r>
    </w:p>
    <w:p w:rsidR="00D42714" w:rsidRDefault="0035333E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（三）师资队伍的年龄结构、职称分布不尽合理，部分学科的师资配备需进一步厚实；教师适应新课改的专业能力亟需提升</w:t>
      </w:r>
    </w:p>
    <w:p w:rsidR="00D42714" w:rsidRDefault="0035333E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建议一是客观分析师资现状，引培结合，厚实数学、语文等关键学科的师资配置，通过校内人事制度改革和针对性的平台搭建，破解高级职称教师增量，中级职称数额撑满的难题。二是进一步发挥“五德”文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化熏陶作用，以绿标反应的问题为导向，以适应新课改挑战的任务驱动，最大限度地调动全体教师主动提升专业水平的紧迫感、内驱力。三是聚焦“教师个人专业发展规划”制订、实施、改进的全过程，加强指导、培训，做实跟踪、评估，匹配适切的发展平台，形成精准有效的教师层级培养策略和长效激励机制，整体打造一支能顺应时代发展要求的师资队伍。</w:t>
      </w: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35333E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D42714" w:rsidRDefault="0035333E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2024年6月</w:t>
      </w:r>
      <w:r w:rsidR="00A044CB">
        <w:rPr>
          <w:rFonts w:ascii="华文仿宋" w:eastAsia="华文仿宋" w:hAnsi="华文仿宋" w:cs="华文仿宋"/>
          <w:sz w:val="28"/>
          <w:szCs w:val="28"/>
        </w:rPr>
        <w:t>12</w:t>
      </w:r>
      <w:r>
        <w:rPr>
          <w:rFonts w:ascii="华文仿宋" w:eastAsia="华文仿宋" w:hAnsi="华文仿宋" w:cs="华文仿宋" w:hint="eastAsia"/>
          <w:sz w:val="28"/>
          <w:szCs w:val="28"/>
        </w:rPr>
        <w:t>日</w:t>
      </w: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D42714" w:rsidRDefault="00D42714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bookmarkStart w:id="0" w:name="_GoBack"/>
      <w:bookmarkEnd w:id="0"/>
    </w:p>
    <w:sectPr w:rsidR="00D42714" w:rsidSect="001C72DF">
      <w:footerReference w:type="default" r:id="rId8"/>
      <w:pgSz w:w="11906" w:h="16838"/>
      <w:pgMar w:top="1440" w:right="1686" w:bottom="1118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7EE" w:rsidRDefault="007067EE">
      <w:r>
        <w:separator/>
      </w:r>
    </w:p>
  </w:endnote>
  <w:endnote w:type="continuationSeparator" w:id="1">
    <w:p w:rsidR="007067EE" w:rsidRDefault="00706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945147"/>
      <w:docPartObj>
        <w:docPartGallery w:val="Page Numbers (Bottom of Page)"/>
        <w:docPartUnique/>
      </w:docPartObj>
    </w:sdtPr>
    <w:sdtContent>
      <w:p w:rsidR="00893F58" w:rsidRDefault="00893F58">
        <w:pPr>
          <w:pStyle w:val="a4"/>
          <w:jc w:val="center"/>
        </w:pPr>
        <w:fldSimple w:instr=" PAGE   \* MERGEFORMAT ">
          <w:r w:rsidRPr="00893F58">
            <w:rPr>
              <w:noProof/>
              <w:lang w:val="zh-CN"/>
            </w:rPr>
            <w:t>11</w:t>
          </w:r>
        </w:fldSimple>
      </w:p>
    </w:sdtContent>
  </w:sdt>
  <w:p w:rsidR="00D42714" w:rsidRDefault="00D427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7EE" w:rsidRDefault="007067EE">
      <w:r>
        <w:separator/>
      </w:r>
    </w:p>
  </w:footnote>
  <w:footnote w:type="continuationSeparator" w:id="1">
    <w:p w:rsidR="007067EE" w:rsidRDefault="00706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236935"/>
    <w:rsid w:val="00151DC3"/>
    <w:rsid w:val="001C72DF"/>
    <w:rsid w:val="00236935"/>
    <w:rsid w:val="00280E8F"/>
    <w:rsid w:val="0035333E"/>
    <w:rsid w:val="003853AC"/>
    <w:rsid w:val="00502E69"/>
    <w:rsid w:val="007067EE"/>
    <w:rsid w:val="00857901"/>
    <w:rsid w:val="00893F58"/>
    <w:rsid w:val="00962F8D"/>
    <w:rsid w:val="00A044CB"/>
    <w:rsid w:val="00BD27AB"/>
    <w:rsid w:val="00D42714"/>
    <w:rsid w:val="00D848E7"/>
    <w:rsid w:val="00E44E04"/>
    <w:rsid w:val="00FE3558"/>
    <w:rsid w:val="00FF47D9"/>
    <w:rsid w:val="037979A5"/>
    <w:rsid w:val="04045A4D"/>
    <w:rsid w:val="045A4B3B"/>
    <w:rsid w:val="052041A8"/>
    <w:rsid w:val="07AC2CFF"/>
    <w:rsid w:val="0CC16F9C"/>
    <w:rsid w:val="0FEF6A5D"/>
    <w:rsid w:val="11244826"/>
    <w:rsid w:val="112C7BF8"/>
    <w:rsid w:val="12B75DF4"/>
    <w:rsid w:val="160C7B04"/>
    <w:rsid w:val="17CC7738"/>
    <w:rsid w:val="19CC6D14"/>
    <w:rsid w:val="1A09478B"/>
    <w:rsid w:val="1AB14586"/>
    <w:rsid w:val="1E4C7D38"/>
    <w:rsid w:val="1E7F010E"/>
    <w:rsid w:val="1EAF02C7"/>
    <w:rsid w:val="1EB84F47"/>
    <w:rsid w:val="1FD47FE6"/>
    <w:rsid w:val="20C444FE"/>
    <w:rsid w:val="20FB5A46"/>
    <w:rsid w:val="21747CD2"/>
    <w:rsid w:val="230B795E"/>
    <w:rsid w:val="24FD7FDE"/>
    <w:rsid w:val="287F28C9"/>
    <w:rsid w:val="28C72DDD"/>
    <w:rsid w:val="2A070FB7"/>
    <w:rsid w:val="2B1A19AE"/>
    <w:rsid w:val="2BD82C0B"/>
    <w:rsid w:val="2C6170A5"/>
    <w:rsid w:val="2D320A41"/>
    <w:rsid w:val="2D661EB6"/>
    <w:rsid w:val="2E346FDA"/>
    <w:rsid w:val="304A60A2"/>
    <w:rsid w:val="31446B59"/>
    <w:rsid w:val="31A31F0E"/>
    <w:rsid w:val="324E00CB"/>
    <w:rsid w:val="333E48FB"/>
    <w:rsid w:val="36BA1FE3"/>
    <w:rsid w:val="372D1C56"/>
    <w:rsid w:val="381F1BC2"/>
    <w:rsid w:val="39B43F05"/>
    <w:rsid w:val="3B375B1C"/>
    <w:rsid w:val="3B3C1094"/>
    <w:rsid w:val="3B8E59E5"/>
    <w:rsid w:val="3BE253C4"/>
    <w:rsid w:val="3BE561B6"/>
    <w:rsid w:val="3C7461F8"/>
    <w:rsid w:val="3C795D45"/>
    <w:rsid w:val="3CD648BA"/>
    <w:rsid w:val="3E9C23C7"/>
    <w:rsid w:val="3F2A2EB3"/>
    <w:rsid w:val="3F512FA9"/>
    <w:rsid w:val="3F7B6439"/>
    <w:rsid w:val="3FB6105E"/>
    <w:rsid w:val="41F65E17"/>
    <w:rsid w:val="444C3D3F"/>
    <w:rsid w:val="447F4128"/>
    <w:rsid w:val="4662784A"/>
    <w:rsid w:val="47344598"/>
    <w:rsid w:val="4C224176"/>
    <w:rsid w:val="4C303F46"/>
    <w:rsid w:val="4DBC18C4"/>
    <w:rsid w:val="4EDD03B5"/>
    <w:rsid w:val="4F2258B6"/>
    <w:rsid w:val="50EF617E"/>
    <w:rsid w:val="510A2FB8"/>
    <w:rsid w:val="51A11B6E"/>
    <w:rsid w:val="53CB6BD5"/>
    <w:rsid w:val="56861332"/>
    <w:rsid w:val="5697353F"/>
    <w:rsid w:val="586D09FC"/>
    <w:rsid w:val="599C6E7D"/>
    <w:rsid w:val="59DD570D"/>
    <w:rsid w:val="5CBE2156"/>
    <w:rsid w:val="5D9500AD"/>
    <w:rsid w:val="5E1611EE"/>
    <w:rsid w:val="61907509"/>
    <w:rsid w:val="620A1069"/>
    <w:rsid w:val="63053D72"/>
    <w:rsid w:val="63D57455"/>
    <w:rsid w:val="67362901"/>
    <w:rsid w:val="69110F2F"/>
    <w:rsid w:val="698B1278"/>
    <w:rsid w:val="6B5C337A"/>
    <w:rsid w:val="6C6B4DFB"/>
    <w:rsid w:val="6DE311EB"/>
    <w:rsid w:val="6E5B1E96"/>
    <w:rsid w:val="6E86269A"/>
    <w:rsid w:val="71AB5C99"/>
    <w:rsid w:val="733C129F"/>
    <w:rsid w:val="749C3ADE"/>
    <w:rsid w:val="755F4925"/>
    <w:rsid w:val="75771B3B"/>
    <w:rsid w:val="77040325"/>
    <w:rsid w:val="7A1836ED"/>
    <w:rsid w:val="7A676AD2"/>
    <w:rsid w:val="7B477E44"/>
    <w:rsid w:val="7B946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1C72D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1C72DF"/>
    <w:pPr>
      <w:ind w:firstLineChars="200" w:firstLine="420"/>
    </w:pPr>
  </w:style>
  <w:style w:type="paragraph" w:styleId="2">
    <w:name w:val="Body Text Indent 2"/>
    <w:basedOn w:val="a"/>
    <w:uiPriority w:val="99"/>
    <w:unhideWhenUsed/>
    <w:qFormat/>
    <w:rsid w:val="001C72DF"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autoRedefine/>
    <w:uiPriority w:val="99"/>
    <w:unhideWhenUsed/>
    <w:qFormat/>
    <w:rsid w:val="001C72D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semiHidden/>
    <w:unhideWhenUsed/>
    <w:qFormat/>
    <w:rsid w:val="001C72D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uiPriority w:val="99"/>
    <w:qFormat/>
    <w:rsid w:val="001C72DF"/>
    <w:pPr>
      <w:widowControl w:val="0"/>
      <w:jc w:val="both"/>
    </w:pPr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1C72DF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1C72D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1C72DF"/>
  </w:style>
  <w:style w:type="character" w:customStyle="1" w:styleId="Char">
    <w:name w:val="页脚 Char"/>
    <w:basedOn w:val="a1"/>
    <w:link w:val="a4"/>
    <w:uiPriority w:val="99"/>
    <w:rsid w:val="00893F58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948</Words>
  <Characters>5409</Characters>
  <Application>Microsoft Office Word</Application>
  <DocSecurity>0</DocSecurity>
  <Lines>45</Lines>
  <Paragraphs>12</Paragraphs>
  <ScaleCrop>false</ScaleCrop>
  <Company>P R C</Company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6</cp:revision>
  <cp:lastPrinted>2024-12-27T00:59:00Z</cp:lastPrinted>
  <dcterms:created xsi:type="dcterms:W3CDTF">2024-06-25T06:35:00Z</dcterms:created>
  <dcterms:modified xsi:type="dcterms:W3CDTF">2024-12-27T00:59:00Z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6305E3832A78435E9A400329050E33F5_13</vt:lpwstr>
  </property>
</Properties>
</file>