
<file path=[Content_Types].xml><?xml version="1.0" encoding="utf-8"?>
<Types xmlns="http://schemas.openxmlformats.org/package/2006/content-types">
  <Default Extension="xml" ContentType="application/xml"/>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26.xml" ContentType="application/vnd.openxmlformats-officedocument.drawingml.chart+xml"/>
  <Override PartName="/word/charts/chart27.xml" ContentType="application/vnd.openxmlformats-officedocument.drawingml.chart+xml"/>
  <Override PartName="/word/charts/chart28.xml" ContentType="application/vnd.openxmlformats-officedocument.drawingml.chart+xml"/>
  <Override PartName="/word/charts/chart29.xml" ContentType="application/vnd.openxmlformats-officedocument.drawingml.chart+xml"/>
  <Override PartName="/word/charts/chart3.xml" ContentType="application/vnd.openxmlformats-officedocument.drawingml.chart+xml"/>
  <Override PartName="/word/charts/chart30.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Override PartName="/word/theme/themeOverride2.xml" ContentType="application/vnd.openxmlformats-officedocument.themeOverride+xml"/>
  <Override PartName="/word/theme/themeOverride3.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pPr>
    </w:p>
    <w:p>
      <w:pPr>
        <w:spacing w:line="360" w:lineRule="auto"/>
      </w:pPr>
    </w:p>
    <w:p>
      <w:pPr>
        <w:spacing w:line="360" w:lineRule="auto"/>
      </w:pPr>
    </w:p>
    <w:p>
      <w:pPr>
        <w:spacing w:line="360" w:lineRule="auto"/>
      </w:pPr>
    </w:p>
    <w:p>
      <w:pPr>
        <w:spacing w:line="360" w:lineRule="auto"/>
        <w:jc w:val="center"/>
        <w:rPr>
          <w:sz w:val="72"/>
          <w:szCs w:val="72"/>
        </w:rPr>
      </w:pPr>
      <w:r>
        <w:rPr>
          <w:rFonts w:eastAsia="楷体"/>
          <w:sz w:val="72"/>
          <w:szCs w:val="72"/>
        </w:rPr>
        <w:t>20</w:t>
      </w:r>
      <w:r>
        <w:rPr>
          <w:rFonts w:hint="eastAsia" w:eastAsia="楷体"/>
          <w:sz w:val="72"/>
          <w:szCs w:val="72"/>
        </w:rPr>
        <w:t>21</w:t>
      </w:r>
      <w:r>
        <w:rPr>
          <w:rFonts w:eastAsia="华文行楷"/>
          <w:sz w:val="72"/>
          <w:szCs w:val="72"/>
        </w:rPr>
        <w:t>青浦区</w:t>
      </w:r>
    </w:p>
    <w:p>
      <w:pPr>
        <w:spacing w:line="360" w:lineRule="auto"/>
        <w:jc w:val="center"/>
        <w:rPr>
          <w:sz w:val="72"/>
          <w:szCs w:val="72"/>
        </w:rPr>
      </w:pPr>
      <w:r>
        <w:rPr>
          <w:sz w:val="72"/>
          <w:szCs w:val="72"/>
        </w:rPr>
        <w:t>环境状况公报</w:t>
      </w:r>
    </w:p>
    <w:p>
      <w:pPr>
        <w:spacing w:line="360" w:lineRule="auto"/>
        <w:jc w:val="center"/>
        <w:rPr>
          <w:sz w:val="36"/>
          <w:szCs w:val="36"/>
        </w:rPr>
      </w:pPr>
      <w:r>
        <w:rPr>
          <w:sz w:val="36"/>
          <w:szCs w:val="36"/>
        </w:rPr>
        <w:t>QINGPU ENVIRONMENTAL BULLETIN</w:t>
      </w:r>
    </w:p>
    <w:p>
      <w:pPr>
        <w:spacing w:line="360" w:lineRule="auto"/>
        <w:jc w:val="center"/>
        <w:rPr>
          <w:sz w:val="36"/>
          <w:szCs w:val="36"/>
        </w:rPr>
      </w:pPr>
    </w:p>
    <w:p>
      <w:pPr>
        <w:spacing w:line="360" w:lineRule="auto"/>
        <w:jc w:val="center"/>
        <w:rPr>
          <w:sz w:val="36"/>
          <w:szCs w:val="36"/>
        </w:rPr>
      </w:pPr>
    </w:p>
    <w:p>
      <w:pPr>
        <w:spacing w:line="360" w:lineRule="auto"/>
        <w:jc w:val="center"/>
        <w:rPr>
          <w:sz w:val="36"/>
          <w:szCs w:val="36"/>
        </w:rPr>
      </w:pPr>
    </w:p>
    <w:p>
      <w:pPr>
        <w:spacing w:line="360" w:lineRule="auto"/>
        <w:jc w:val="center"/>
        <w:rPr>
          <w:sz w:val="36"/>
          <w:szCs w:val="36"/>
        </w:rPr>
      </w:pPr>
    </w:p>
    <w:p>
      <w:pPr>
        <w:spacing w:line="360" w:lineRule="auto"/>
        <w:jc w:val="center"/>
        <w:rPr>
          <w:sz w:val="36"/>
          <w:szCs w:val="36"/>
        </w:rPr>
      </w:pPr>
    </w:p>
    <w:p>
      <w:pPr>
        <w:spacing w:line="360" w:lineRule="auto"/>
        <w:jc w:val="center"/>
        <w:rPr>
          <w:sz w:val="36"/>
          <w:szCs w:val="36"/>
        </w:rPr>
      </w:pPr>
    </w:p>
    <w:p>
      <w:pPr>
        <w:spacing w:line="360" w:lineRule="auto"/>
        <w:jc w:val="center"/>
        <w:rPr>
          <w:sz w:val="36"/>
          <w:szCs w:val="36"/>
        </w:rPr>
      </w:pPr>
    </w:p>
    <w:p>
      <w:pPr>
        <w:spacing w:line="360" w:lineRule="auto"/>
        <w:jc w:val="center"/>
        <w:rPr>
          <w:sz w:val="36"/>
          <w:szCs w:val="36"/>
        </w:rPr>
      </w:pPr>
    </w:p>
    <w:p>
      <w:pPr>
        <w:spacing w:line="360" w:lineRule="auto"/>
        <w:jc w:val="center"/>
        <w:rPr>
          <w:sz w:val="36"/>
          <w:szCs w:val="36"/>
        </w:rPr>
      </w:pPr>
    </w:p>
    <w:p>
      <w:pPr>
        <w:spacing w:line="360" w:lineRule="auto"/>
        <w:jc w:val="center"/>
        <w:rPr>
          <w:sz w:val="52"/>
          <w:szCs w:val="52"/>
        </w:rPr>
      </w:pPr>
      <w:r>
        <w:rPr>
          <w:sz w:val="48"/>
          <w:szCs w:val="52"/>
        </w:rPr>
        <w:t>上海市青浦区</w:t>
      </w:r>
      <w:r>
        <w:rPr>
          <w:rFonts w:hint="eastAsia"/>
          <w:sz w:val="48"/>
          <w:szCs w:val="52"/>
        </w:rPr>
        <w:t>生态环境</w:t>
      </w:r>
      <w:r>
        <w:rPr>
          <w:sz w:val="48"/>
          <w:szCs w:val="52"/>
        </w:rPr>
        <w:t>局</w:t>
      </w:r>
    </w:p>
    <w:p>
      <w:pPr>
        <w:spacing w:line="360" w:lineRule="auto"/>
        <w:jc w:val="center"/>
        <w:rPr>
          <w:sz w:val="18"/>
          <w:szCs w:val="18"/>
        </w:rPr>
      </w:pPr>
      <w:r>
        <w:rPr>
          <w:sz w:val="18"/>
          <w:szCs w:val="18"/>
        </w:rPr>
        <w:t>SHANGHAI QINGPU MUNICIPAL BUREAU OF ECOLOGY AND ENVIRONMENT</w:t>
      </w:r>
    </w:p>
    <w:p>
      <w:pPr>
        <w:spacing w:line="360" w:lineRule="auto"/>
        <w:jc w:val="center"/>
        <w:rPr>
          <w:sz w:val="18"/>
          <w:szCs w:val="18"/>
        </w:rPr>
      </w:pPr>
    </w:p>
    <w:p>
      <w:pPr>
        <w:spacing w:line="360" w:lineRule="auto"/>
        <w:jc w:val="center"/>
        <w:rPr>
          <w:sz w:val="18"/>
          <w:szCs w:val="18"/>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line="360" w:lineRule="auto"/>
        <w:jc w:val="center"/>
        <w:rPr>
          <w:sz w:val="44"/>
          <w:szCs w:val="44"/>
        </w:rPr>
      </w:pPr>
      <w:r>
        <w:rPr>
          <w:sz w:val="44"/>
          <w:szCs w:val="44"/>
          <w:lang w:val="zh-CN"/>
        </w:rPr>
        <w:t>目</w:t>
      </w:r>
      <w:r>
        <w:rPr>
          <w:sz w:val="44"/>
          <w:szCs w:val="44"/>
        </w:rPr>
        <w:t xml:space="preserve">    </w:t>
      </w:r>
      <w:r>
        <w:rPr>
          <w:sz w:val="44"/>
          <w:szCs w:val="44"/>
          <w:lang w:val="zh-CN"/>
        </w:rPr>
        <w:t>录</w:t>
      </w:r>
    </w:p>
    <w:p>
      <w:pPr>
        <w:jc w:val="left"/>
        <w:rPr>
          <w:sz w:val="18"/>
          <w:szCs w:val="18"/>
        </w:rPr>
      </w:pPr>
    </w:p>
    <w:p>
      <w:pPr>
        <w:jc w:val="left"/>
        <w:rPr>
          <w:rFonts w:ascii="黑体" w:hAnsi="黑体" w:eastAsia="黑体"/>
          <w:sz w:val="28"/>
          <w:szCs w:val="28"/>
        </w:rPr>
      </w:pPr>
      <w:r>
        <w:rPr>
          <w:rFonts w:hint="eastAsia" w:ascii="黑体" w:hAnsi="黑体" w:eastAsia="黑体"/>
          <w:sz w:val="28"/>
          <w:szCs w:val="28"/>
        </w:rPr>
        <w:t>概述</w:t>
      </w:r>
    </w:p>
    <w:p>
      <w:pPr>
        <w:jc w:val="left"/>
        <w:rPr>
          <w:rFonts w:ascii="黑体" w:hAnsi="黑体" w:eastAsia="黑体"/>
          <w:sz w:val="28"/>
          <w:szCs w:val="28"/>
        </w:rPr>
      </w:pPr>
      <w:r>
        <w:rPr>
          <w:rFonts w:hint="eastAsia" w:ascii="黑体" w:hAnsi="黑体" w:eastAsia="黑体"/>
          <w:sz w:val="28"/>
          <w:szCs w:val="28"/>
        </w:rPr>
        <w:t>生态环境质量</w:t>
      </w:r>
      <w:r>
        <w:rPr>
          <w:rFonts w:ascii="黑体" w:hAnsi="黑体" w:eastAsia="黑体"/>
          <w:sz w:val="28"/>
          <w:szCs w:val="28"/>
        </w:rPr>
        <w:t>状况</w:t>
      </w:r>
    </w:p>
    <w:p>
      <w:pPr>
        <w:ind w:firstLine="560" w:firstLineChars="200"/>
        <w:rPr>
          <w:sz w:val="28"/>
          <w:szCs w:val="28"/>
        </w:rPr>
      </w:pPr>
      <w:r>
        <w:rPr>
          <w:rFonts w:hint="eastAsia"/>
          <w:sz w:val="28"/>
          <w:szCs w:val="28"/>
        </w:rPr>
        <w:t>一</w:t>
      </w:r>
      <w:r>
        <w:rPr>
          <w:sz w:val="28"/>
          <w:szCs w:val="28"/>
        </w:rPr>
        <w:t>、</w:t>
      </w:r>
      <w:r>
        <w:rPr>
          <w:rFonts w:hint="eastAsia"/>
          <w:sz w:val="28"/>
          <w:szCs w:val="28"/>
        </w:rPr>
        <w:t>环境</w:t>
      </w:r>
      <w:r>
        <w:rPr>
          <w:sz w:val="28"/>
          <w:szCs w:val="28"/>
        </w:rPr>
        <w:t>空气质量</w:t>
      </w:r>
    </w:p>
    <w:p>
      <w:pPr>
        <w:ind w:firstLine="560" w:firstLineChars="200"/>
        <w:rPr>
          <w:sz w:val="28"/>
          <w:szCs w:val="28"/>
        </w:rPr>
      </w:pPr>
      <w:r>
        <w:rPr>
          <w:rFonts w:hint="eastAsia"/>
          <w:sz w:val="28"/>
          <w:szCs w:val="28"/>
        </w:rPr>
        <w:t>二、地表</w:t>
      </w:r>
      <w:r>
        <w:rPr>
          <w:sz w:val="28"/>
          <w:szCs w:val="28"/>
        </w:rPr>
        <w:t>水环境质量</w:t>
      </w:r>
    </w:p>
    <w:p>
      <w:pPr>
        <w:ind w:firstLine="560" w:firstLineChars="200"/>
        <w:rPr>
          <w:sz w:val="28"/>
          <w:szCs w:val="28"/>
        </w:rPr>
      </w:pPr>
      <w:r>
        <w:rPr>
          <w:rFonts w:hint="eastAsia"/>
          <w:sz w:val="28"/>
          <w:szCs w:val="28"/>
        </w:rPr>
        <w:t>三、</w:t>
      </w:r>
      <w:r>
        <w:rPr>
          <w:sz w:val="28"/>
          <w:szCs w:val="28"/>
        </w:rPr>
        <w:t>声环境</w:t>
      </w:r>
      <w:r>
        <w:rPr>
          <w:rFonts w:hint="eastAsia"/>
          <w:sz w:val="28"/>
          <w:szCs w:val="28"/>
        </w:rPr>
        <w:t>质量</w:t>
      </w:r>
    </w:p>
    <w:p>
      <w:pPr>
        <w:ind w:firstLine="560" w:firstLineChars="200"/>
        <w:rPr>
          <w:sz w:val="28"/>
          <w:szCs w:val="28"/>
        </w:rPr>
      </w:pPr>
      <w:r>
        <w:rPr>
          <w:rFonts w:hint="eastAsia"/>
          <w:sz w:val="28"/>
          <w:szCs w:val="28"/>
        </w:rPr>
        <w:t>四</w:t>
      </w:r>
      <w:r>
        <w:rPr>
          <w:sz w:val="28"/>
          <w:szCs w:val="28"/>
        </w:rPr>
        <w:t>、辐射环境质量</w:t>
      </w:r>
    </w:p>
    <w:p>
      <w:pPr>
        <w:ind w:firstLine="560" w:firstLineChars="200"/>
        <w:rPr>
          <w:sz w:val="28"/>
          <w:szCs w:val="28"/>
        </w:rPr>
      </w:pPr>
      <w:r>
        <w:rPr>
          <w:rFonts w:hint="eastAsia"/>
          <w:sz w:val="28"/>
          <w:szCs w:val="28"/>
        </w:rPr>
        <w:t>五</w:t>
      </w:r>
      <w:r>
        <w:rPr>
          <w:sz w:val="28"/>
          <w:szCs w:val="28"/>
        </w:rPr>
        <w:t>、</w:t>
      </w:r>
      <w:r>
        <w:rPr>
          <w:rFonts w:hint="eastAsia"/>
          <w:sz w:val="28"/>
          <w:szCs w:val="28"/>
        </w:rPr>
        <w:t>生态</w:t>
      </w:r>
      <w:r>
        <w:rPr>
          <w:sz w:val="28"/>
          <w:szCs w:val="28"/>
        </w:rPr>
        <w:t>环境</w:t>
      </w:r>
      <w:r>
        <w:rPr>
          <w:rFonts w:hint="eastAsia"/>
          <w:sz w:val="28"/>
          <w:szCs w:val="28"/>
        </w:rPr>
        <w:t>质量</w:t>
      </w:r>
    </w:p>
    <w:p>
      <w:pPr>
        <w:rPr>
          <w:rFonts w:ascii="黑体" w:hAnsi="黑体" w:eastAsia="黑体"/>
          <w:sz w:val="28"/>
          <w:szCs w:val="28"/>
        </w:rPr>
      </w:pPr>
      <w:r>
        <w:rPr>
          <w:rFonts w:hint="eastAsia" w:ascii="黑体" w:hAnsi="黑体" w:eastAsia="黑体"/>
          <w:sz w:val="28"/>
          <w:szCs w:val="28"/>
        </w:rPr>
        <w:t>重点</w:t>
      </w:r>
      <w:r>
        <w:rPr>
          <w:rFonts w:ascii="黑体" w:hAnsi="黑体" w:eastAsia="黑体"/>
          <w:sz w:val="28"/>
          <w:szCs w:val="28"/>
        </w:rPr>
        <w:t>工作</w:t>
      </w:r>
    </w:p>
    <w:p>
      <w:pPr>
        <w:numPr>
          <w:ilvl w:val="0"/>
          <w:numId w:val="1"/>
        </w:numPr>
        <w:rPr>
          <w:sz w:val="28"/>
          <w:szCs w:val="28"/>
        </w:rPr>
      </w:pPr>
      <w:r>
        <w:rPr>
          <w:rFonts w:hint="eastAsia"/>
          <w:sz w:val="28"/>
          <w:szCs w:val="28"/>
        </w:rPr>
        <w:t>污染防治攻坚战</w:t>
      </w:r>
    </w:p>
    <w:p>
      <w:pPr>
        <w:ind w:firstLine="560" w:firstLineChars="200"/>
        <w:rPr>
          <w:sz w:val="28"/>
          <w:szCs w:val="28"/>
        </w:rPr>
      </w:pPr>
      <w:r>
        <w:rPr>
          <w:rFonts w:hint="eastAsia"/>
          <w:sz w:val="28"/>
          <w:szCs w:val="28"/>
        </w:rPr>
        <w:t>环保三年行动计划</w:t>
      </w:r>
    </w:p>
    <w:p>
      <w:pPr>
        <w:ind w:firstLine="560" w:firstLineChars="200"/>
        <w:rPr>
          <w:sz w:val="28"/>
          <w:szCs w:val="28"/>
        </w:rPr>
      </w:pPr>
      <w:r>
        <w:rPr>
          <w:rFonts w:hint="eastAsia"/>
          <w:sz w:val="28"/>
          <w:szCs w:val="28"/>
        </w:rPr>
        <w:t>水污染防治</w:t>
      </w:r>
    </w:p>
    <w:p>
      <w:pPr>
        <w:ind w:firstLine="560" w:firstLineChars="200"/>
        <w:rPr>
          <w:sz w:val="28"/>
          <w:szCs w:val="28"/>
        </w:rPr>
      </w:pPr>
      <w:r>
        <w:rPr>
          <w:rFonts w:hint="eastAsia"/>
          <w:sz w:val="28"/>
          <w:szCs w:val="28"/>
        </w:rPr>
        <w:t>大气污染防治</w:t>
      </w:r>
    </w:p>
    <w:p>
      <w:pPr>
        <w:ind w:firstLine="560" w:firstLineChars="200"/>
        <w:rPr>
          <w:sz w:val="28"/>
          <w:szCs w:val="28"/>
        </w:rPr>
      </w:pPr>
      <w:r>
        <w:rPr>
          <w:rFonts w:hint="eastAsia"/>
          <w:sz w:val="28"/>
          <w:szCs w:val="28"/>
        </w:rPr>
        <w:t>土壤污染防治</w:t>
      </w:r>
    </w:p>
    <w:p>
      <w:pPr>
        <w:numPr>
          <w:ilvl w:val="0"/>
          <w:numId w:val="1"/>
        </w:numPr>
        <w:rPr>
          <w:sz w:val="28"/>
          <w:szCs w:val="28"/>
        </w:rPr>
      </w:pPr>
      <w:r>
        <w:rPr>
          <w:rFonts w:hint="eastAsia"/>
          <w:sz w:val="28"/>
          <w:szCs w:val="28"/>
        </w:rPr>
        <w:t>生态文明体制改革</w:t>
      </w:r>
    </w:p>
    <w:p>
      <w:pPr>
        <w:ind w:left="560"/>
        <w:rPr>
          <w:sz w:val="28"/>
          <w:szCs w:val="28"/>
        </w:rPr>
      </w:pPr>
      <w:r>
        <w:rPr>
          <w:rFonts w:hint="eastAsia"/>
          <w:sz w:val="28"/>
          <w:szCs w:val="28"/>
        </w:rPr>
        <w:t>总体进展</w:t>
      </w:r>
    </w:p>
    <w:p>
      <w:pPr>
        <w:ind w:left="560"/>
        <w:rPr>
          <w:sz w:val="28"/>
          <w:szCs w:val="28"/>
        </w:rPr>
      </w:pPr>
      <w:r>
        <w:rPr>
          <w:rFonts w:hint="eastAsia"/>
          <w:sz w:val="28"/>
          <w:szCs w:val="28"/>
        </w:rPr>
        <w:t>生态环境保护督察</w:t>
      </w:r>
    </w:p>
    <w:p>
      <w:pPr>
        <w:ind w:left="560"/>
        <w:rPr>
          <w:sz w:val="28"/>
          <w:szCs w:val="28"/>
        </w:rPr>
      </w:pPr>
      <w:r>
        <w:rPr>
          <w:rFonts w:hint="eastAsia"/>
          <w:sz w:val="28"/>
          <w:szCs w:val="28"/>
        </w:rPr>
        <w:t>环评制度改革</w:t>
      </w:r>
    </w:p>
    <w:p>
      <w:pPr>
        <w:numPr>
          <w:ilvl w:val="0"/>
          <w:numId w:val="1"/>
        </w:numPr>
        <w:rPr>
          <w:sz w:val="28"/>
          <w:szCs w:val="28"/>
        </w:rPr>
      </w:pPr>
      <w:r>
        <w:rPr>
          <w:rFonts w:hint="eastAsia"/>
          <w:sz w:val="28"/>
          <w:szCs w:val="28"/>
        </w:rPr>
        <w:t>其他重点工作</w:t>
      </w:r>
    </w:p>
    <w:p>
      <w:pPr>
        <w:ind w:left="560"/>
        <w:rPr>
          <w:sz w:val="28"/>
          <w:szCs w:val="28"/>
        </w:rPr>
      </w:pPr>
      <w:r>
        <w:rPr>
          <w:rFonts w:hint="eastAsia"/>
          <w:sz w:val="28"/>
          <w:szCs w:val="28"/>
        </w:rPr>
        <w:t>排污许可</w:t>
      </w:r>
    </w:p>
    <w:p>
      <w:pPr>
        <w:ind w:left="560"/>
        <w:rPr>
          <w:sz w:val="28"/>
          <w:szCs w:val="28"/>
        </w:rPr>
      </w:pPr>
      <w:r>
        <w:rPr>
          <w:rFonts w:hint="eastAsia"/>
          <w:sz w:val="28"/>
          <w:szCs w:val="28"/>
        </w:rPr>
        <w:t>长三角区域协作</w:t>
      </w:r>
    </w:p>
    <w:p>
      <w:pPr>
        <w:pStyle w:val="2"/>
        <w:spacing w:line="240" w:lineRule="auto"/>
        <w:ind w:firstLine="560" w:firstLineChars="200"/>
        <w:jc w:val="left"/>
        <w:rPr>
          <w:b w:val="0"/>
          <w:bCs w:val="0"/>
          <w:sz w:val="28"/>
          <w:szCs w:val="28"/>
        </w:rPr>
      </w:pPr>
      <w:r>
        <w:rPr>
          <w:rFonts w:hint="eastAsia"/>
          <w:b w:val="0"/>
          <w:bCs w:val="0"/>
          <w:sz w:val="28"/>
          <w:szCs w:val="28"/>
        </w:rPr>
        <w:t>碳达峰行动</w:t>
      </w:r>
    </w:p>
    <w:p>
      <w:pPr>
        <w:rPr>
          <w:rFonts w:ascii="黑体" w:hAnsi="黑体" w:eastAsia="黑体"/>
          <w:sz w:val="28"/>
          <w:szCs w:val="28"/>
        </w:rPr>
      </w:pPr>
      <w:r>
        <w:rPr>
          <w:rFonts w:hint="eastAsia" w:ascii="黑体" w:hAnsi="黑体" w:eastAsia="黑体"/>
          <w:sz w:val="28"/>
          <w:szCs w:val="28"/>
        </w:rPr>
        <w:t>保障措施</w:t>
      </w:r>
    </w:p>
    <w:p>
      <w:pPr>
        <w:ind w:firstLine="560" w:firstLineChars="200"/>
        <w:rPr>
          <w:sz w:val="28"/>
          <w:szCs w:val="28"/>
        </w:rPr>
      </w:pPr>
      <w:r>
        <w:rPr>
          <w:rFonts w:hint="eastAsia"/>
          <w:sz w:val="28"/>
          <w:szCs w:val="28"/>
        </w:rPr>
        <w:t>一、环境执法</w:t>
      </w:r>
    </w:p>
    <w:p>
      <w:pPr>
        <w:ind w:firstLine="560" w:firstLineChars="200"/>
        <w:rPr>
          <w:sz w:val="28"/>
          <w:szCs w:val="28"/>
        </w:rPr>
      </w:pPr>
      <w:r>
        <w:rPr>
          <w:rFonts w:hint="eastAsia"/>
          <w:sz w:val="28"/>
          <w:szCs w:val="28"/>
        </w:rPr>
        <w:t>二、环保投入</w:t>
      </w:r>
    </w:p>
    <w:p>
      <w:pPr>
        <w:ind w:firstLine="560" w:firstLineChars="200"/>
        <w:rPr>
          <w:sz w:val="28"/>
          <w:szCs w:val="28"/>
        </w:rPr>
      </w:pPr>
      <w:r>
        <w:rPr>
          <w:rFonts w:hint="eastAsia"/>
          <w:sz w:val="28"/>
          <w:szCs w:val="28"/>
        </w:rPr>
        <w:t>三、环境监测</w:t>
      </w:r>
    </w:p>
    <w:p>
      <w:pPr>
        <w:ind w:firstLine="560" w:firstLineChars="200"/>
        <w:rPr>
          <w:sz w:val="28"/>
          <w:szCs w:val="28"/>
        </w:rPr>
      </w:pPr>
      <w:r>
        <w:rPr>
          <w:rFonts w:hint="eastAsia"/>
          <w:sz w:val="28"/>
          <w:szCs w:val="28"/>
        </w:rPr>
        <w:t>四、环评管理</w:t>
      </w:r>
    </w:p>
    <w:p>
      <w:pPr>
        <w:pStyle w:val="2"/>
        <w:spacing w:line="240" w:lineRule="auto"/>
        <w:ind w:firstLine="560" w:firstLineChars="200"/>
        <w:jc w:val="left"/>
        <w:rPr>
          <w:b w:val="0"/>
          <w:bCs w:val="0"/>
          <w:sz w:val="28"/>
          <w:szCs w:val="28"/>
        </w:rPr>
      </w:pPr>
      <w:r>
        <w:rPr>
          <w:rFonts w:hint="eastAsia"/>
          <w:b w:val="0"/>
          <w:bCs w:val="0"/>
          <w:sz w:val="28"/>
          <w:szCs w:val="28"/>
        </w:rPr>
        <w:t>五、环境法制</w:t>
      </w:r>
    </w:p>
    <w:p>
      <w:pPr>
        <w:rPr>
          <w:rFonts w:ascii="黑体" w:hAnsi="黑体" w:eastAsia="黑体"/>
          <w:sz w:val="28"/>
          <w:szCs w:val="28"/>
        </w:rPr>
      </w:pPr>
      <w:r>
        <w:rPr>
          <w:rFonts w:hint="eastAsia" w:ascii="黑体" w:hAnsi="黑体" w:eastAsia="黑体"/>
          <w:sz w:val="28"/>
          <w:szCs w:val="28"/>
        </w:rPr>
        <w:t>公众参与和监督</w:t>
      </w:r>
    </w:p>
    <w:p>
      <w:pPr>
        <w:numPr>
          <w:ilvl w:val="0"/>
          <w:numId w:val="2"/>
        </w:numPr>
        <w:ind w:firstLine="560" w:firstLineChars="200"/>
        <w:rPr>
          <w:sz w:val="28"/>
          <w:szCs w:val="28"/>
        </w:rPr>
      </w:pPr>
      <w:r>
        <w:rPr>
          <w:rFonts w:hint="eastAsia"/>
          <w:sz w:val="28"/>
          <w:szCs w:val="28"/>
        </w:rPr>
        <w:t>信息公开</w:t>
      </w:r>
    </w:p>
    <w:p>
      <w:pPr>
        <w:numPr>
          <w:ilvl w:val="0"/>
          <w:numId w:val="2"/>
        </w:numPr>
        <w:ind w:firstLine="560" w:firstLineChars="200"/>
        <w:rPr>
          <w:sz w:val="28"/>
          <w:szCs w:val="28"/>
        </w:rPr>
      </w:pPr>
      <w:r>
        <w:rPr>
          <w:rFonts w:hint="eastAsia"/>
          <w:sz w:val="28"/>
          <w:szCs w:val="28"/>
        </w:rPr>
        <w:t>投诉受理</w:t>
      </w:r>
    </w:p>
    <w:p>
      <w:pPr>
        <w:numPr>
          <w:ilvl w:val="0"/>
          <w:numId w:val="2"/>
        </w:numPr>
        <w:ind w:firstLine="560" w:firstLineChars="200"/>
        <w:rPr>
          <w:sz w:val="28"/>
          <w:szCs w:val="28"/>
        </w:rPr>
      </w:pPr>
      <w:r>
        <w:rPr>
          <w:rFonts w:hint="eastAsia"/>
          <w:sz w:val="28"/>
          <w:szCs w:val="28"/>
        </w:rPr>
        <w:t>环保宣传</w:t>
      </w:r>
    </w:p>
    <w:p>
      <w:pPr>
        <w:rPr>
          <w:sz w:val="18"/>
          <w:szCs w:val="18"/>
        </w:rPr>
        <w:sectPr>
          <w:footerReference r:id="rId5" w:type="default"/>
          <w:pgSz w:w="11906" w:h="16838"/>
          <w:pgMar w:top="1440" w:right="1800" w:bottom="1440" w:left="1800" w:header="851" w:footer="992" w:gutter="0"/>
          <w:cols w:space="425" w:num="1"/>
          <w:docGrid w:type="lines" w:linePitch="312" w:charSpace="0"/>
        </w:sectPr>
      </w:pPr>
    </w:p>
    <w:p>
      <w:pPr>
        <w:spacing w:before="312" w:beforeLines="100" w:after="312" w:afterLines="100"/>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2021年青浦区生态环境状况公报</w:t>
      </w:r>
    </w:p>
    <w:p>
      <w:pPr>
        <w:spacing w:before="312" w:beforeLines="100" w:after="312" w:afterLines="100"/>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概述</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2021年，青浦区深入贯彻习近平生态文明思想，习近平总书记考察上海重要讲话精神，始终坚持“人民城市人民建、人民城市为人民”重要理念，紧紧围绕长三角一体化发展和中国国际进口博览会两大国家战略，统筹做好疫情防控、经济社会发展和生态环境保护工作，扎实推进生态环境保护各项工作，坚决打赢污染防治攻坚战，全区生态环境质量明显改善。</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2021年，青浦区空气环境质量指数AQI优良率为89.3％，为有监测记录以来最</w:t>
      </w:r>
      <w:r>
        <w:rPr>
          <w:rFonts w:hint="eastAsia" w:ascii="Times New Roman" w:hAnsi="Times New Roman" w:eastAsia="仿宋_GB2312" w:cs="Times New Roman"/>
          <w:sz w:val="28"/>
          <w:szCs w:val="28"/>
          <w:lang w:eastAsia="zh-CN"/>
        </w:rPr>
        <w:t>好</w:t>
      </w:r>
      <w:bookmarkStart w:id="28" w:name="_GoBack"/>
      <w:bookmarkEnd w:id="28"/>
      <w:r>
        <w:rPr>
          <w:rFonts w:hint="eastAsia" w:ascii="Times New Roman" w:hAnsi="Times New Roman" w:eastAsia="仿宋_GB2312" w:cs="Times New Roman"/>
          <w:sz w:val="28"/>
          <w:szCs w:val="28"/>
        </w:rPr>
        <w:t>。集中式饮用水源地水质达到II类水质标准要求，应急饮用水源地水质达到III类；淀山湖为轻度-富营养化水平；5个国控断面、15个市控断面水质优良率达到70%。全区土壤环境安全，重点建设用地安全利用率100%，全区土壤环境风险稳定可控。地下水环境质量保持稳定。噪声环境总体保持良好。辐射环境保持正常本底水平。全区生态环境状况良好。</w:t>
      </w:r>
    </w:p>
    <w:p>
      <w:pPr>
        <w:spacing w:before="312" w:beforeLines="100" w:after="312" w:afterLines="100"/>
        <w:rPr>
          <w:rFonts w:ascii="方正小标宋简体" w:hAnsi="方正小标宋简体" w:eastAsia="方正小标宋简体" w:cs="方正小标宋简体"/>
          <w:sz w:val="28"/>
          <w:szCs w:val="28"/>
        </w:rPr>
      </w:pPr>
      <w:r>
        <w:rPr>
          <w:rFonts w:hint="eastAsia" w:ascii="方正小标宋简体" w:hAnsi="方正小标宋简体" w:eastAsia="方正小标宋简体" w:cs="方正小标宋简体"/>
          <w:sz w:val="28"/>
          <w:szCs w:val="28"/>
        </w:rPr>
        <w:t>生态环境质量状况</w:t>
      </w:r>
    </w:p>
    <w:p>
      <w:pPr>
        <w:numPr>
          <w:ilvl w:val="0"/>
          <w:numId w:val="3"/>
        </w:numPr>
        <w:spacing w:before="312" w:beforeLines="100" w:after="312" w:afterLines="100"/>
        <w:ind w:firstLine="560" w:firstLineChars="200"/>
        <w:rPr>
          <w:rFonts w:ascii="黑体" w:hAnsi="黑体" w:eastAsia="黑体" w:cs="黑体"/>
          <w:sz w:val="28"/>
          <w:szCs w:val="28"/>
        </w:rPr>
      </w:pPr>
      <w:r>
        <w:rPr>
          <w:rFonts w:hint="eastAsia" w:ascii="黑体" w:hAnsi="黑体" w:eastAsia="黑体" w:cs="黑体"/>
          <w:sz w:val="28"/>
          <w:szCs w:val="28"/>
        </w:rPr>
        <w:t>环境空气质量</w:t>
      </w:r>
    </w:p>
    <w:p>
      <w:pPr>
        <w:spacing w:before="312" w:beforeLines="100" w:after="312" w:afterLines="100"/>
        <w:ind w:firstLine="560" w:firstLineChars="200"/>
        <w:rPr>
          <w:rFonts w:ascii="Times New Roman" w:hAnsi="Times New Roman" w:eastAsia="仿宋_GB2312" w:cs="Times New Roman"/>
          <w:sz w:val="28"/>
          <w:szCs w:val="28"/>
        </w:rPr>
      </w:pPr>
      <w:bookmarkStart w:id="0" w:name="_Toc66439203"/>
      <w:r>
        <w:rPr>
          <w:rFonts w:hint="eastAsia" w:ascii="Times New Roman" w:hAnsi="Times New Roman" w:eastAsia="仿宋_GB2312" w:cs="Times New Roman"/>
          <w:sz w:val="28"/>
          <w:szCs w:val="28"/>
        </w:rPr>
        <w:drawing>
          <wp:anchor distT="0" distB="0" distL="114300" distR="114300" simplePos="0" relativeHeight="251660288" behindDoc="0" locked="0" layoutInCell="1" allowOverlap="1">
            <wp:simplePos x="0" y="0"/>
            <wp:positionH relativeFrom="column">
              <wp:posOffset>802005</wp:posOffset>
            </wp:positionH>
            <wp:positionV relativeFrom="paragraph">
              <wp:posOffset>1812925</wp:posOffset>
            </wp:positionV>
            <wp:extent cx="4019550" cy="1657350"/>
            <wp:effectExtent l="0" t="0" r="3810" b="3810"/>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Times New Roman" w:hAnsi="Times New Roman" w:eastAsia="仿宋_GB2312" w:cs="Times New Roman"/>
          <w:sz w:val="28"/>
          <w:szCs w:val="28"/>
        </w:rPr>
        <w:t>2021年，青浦区空气质量指数（AQI）优良天数326天，较2020年（313天）增加了13天；AQI优良率为89.3%，较2020年（85.5%）上升了3.8个百分点。其中，优105天，良221天，轻度污染38天，中度污染1天，无“重度污染”天数和“严重污染”天数（图1）。</w:t>
      </w:r>
    </w:p>
    <w:p>
      <w:pPr>
        <w:spacing w:after="156" w:afterLines="50"/>
        <w:jc w:val="center"/>
        <w:rPr>
          <w:rFonts w:ascii="宋体" w:hAnsi="宋体" w:cs="宋体"/>
          <w:b/>
          <w:sz w:val="22"/>
          <w:szCs w:val="22"/>
        </w:rPr>
      </w:pPr>
      <w:r>
        <w:rPr>
          <w:rFonts w:hint="eastAsia" w:ascii="宋体" w:hAnsi="宋体" w:cs="宋体"/>
          <w:b/>
          <w:sz w:val="22"/>
          <w:szCs w:val="22"/>
        </w:rPr>
        <w:t>图1  202</w:t>
      </w:r>
      <w:r>
        <w:rPr>
          <w:rFonts w:ascii="宋体" w:hAnsi="宋体" w:cs="宋体"/>
          <w:b/>
          <w:sz w:val="22"/>
          <w:szCs w:val="22"/>
        </w:rPr>
        <w:t>1</w:t>
      </w:r>
      <w:r>
        <w:rPr>
          <w:rFonts w:hint="eastAsia" w:ascii="宋体" w:hAnsi="宋体" w:cs="宋体"/>
          <w:b/>
          <w:sz w:val="22"/>
          <w:szCs w:val="22"/>
        </w:rPr>
        <w:t>年青浦区空气质量各级别分布情况</w:t>
      </w:r>
    </w:p>
    <w:p>
      <w:pPr>
        <w:spacing w:before="312" w:beforeLines="100" w:after="312" w:afterLines="100"/>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2021年，青浦区全年共出现39个污染日。其中首要污染物为臭氧的有25天，占比为64.1%；首要污染物为二氧化氮（NO</w:t>
      </w:r>
      <w:r>
        <w:rPr>
          <w:rFonts w:hint="eastAsia" w:ascii="Times New Roman" w:hAnsi="Times New Roman" w:eastAsia="仿宋_GB2312" w:cs="Times New Roman"/>
          <w:sz w:val="28"/>
          <w:szCs w:val="28"/>
          <w:vertAlign w:val="subscript"/>
        </w:rPr>
        <w:t>2</w:t>
      </w:r>
      <w:r>
        <w:rPr>
          <w:rFonts w:hint="eastAsia" w:ascii="Times New Roman" w:hAnsi="Times New Roman" w:eastAsia="仿宋_GB2312" w:cs="Times New Roman"/>
          <w:sz w:val="28"/>
          <w:szCs w:val="28"/>
        </w:rPr>
        <w:t>）的有6天，占比为15.4%；首要污染物为细颗粒物（PM</w:t>
      </w:r>
      <w:r>
        <w:rPr>
          <w:rFonts w:hint="eastAsia" w:ascii="Times New Roman" w:hAnsi="Times New Roman" w:eastAsia="仿宋_GB2312" w:cs="Times New Roman"/>
          <w:sz w:val="28"/>
          <w:szCs w:val="28"/>
          <w:vertAlign w:val="subscript"/>
        </w:rPr>
        <w:t>2.5</w:t>
      </w:r>
      <w:r>
        <w:rPr>
          <w:rFonts w:hint="eastAsia" w:ascii="Times New Roman" w:hAnsi="Times New Roman" w:eastAsia="仿宋_GB2312" w:cs="Times New Roman"/>
          <w:sz w:val="28"/>
          <w:szCs w:val="28"/>
        </w:rPr>
        <w:t>）的有5天，占比为12.8%；首要污染物为可吸入颗粒物（PM</w:t>
      </w:r>
      <w:r>
        <w:rPr>
          <w:rFonts w:hint="eastAsia" w:ascii="Times New Roman" w:hAnsi="Times New Roman" w:eastAsia="仿宋_GB2312" w:cs="Times New Roman"/>
          <w:sz w:val="28"/>
          <w:szCs w:val="28"/>
          <w:vertAlign w:val="subscript"/>
        </w:rPr>
        <w:t>10</w:t>
      </w:r>
      <w:r>
        <w:rPr>
          <w:rFonts w:hint="eastAsia" w:ascii="Times New Roman" w:hAnsi="Times New Roman" w:eastAsia="仿宋_GB2312" w:cs="Times New Roman"/>
          <w:sz w:val="28"/>
          <w:szCs w:val="28"/>
        </w:rPr>
        <w:t>）的有3天，占比为7.7%；（图2）。</w:t>
      </w:r>
    </w:p>
    <w:p>
      <w:pPr>
        <w:spacing w:after="156" w:afterLines="50"/>
        <w:jc w:val="center"/>
        <w:rPr>
          <w:rFonts w:ascii="宋体" w:hAnsi="宋体" w:cs="宋体"/>
          <w:b/>
          <w:sz w:val="22"/>
          <w:szCs w:val="22"/>
        </w:rPr>
      </w:pPr>
      <w:r>
        <w:rPr>
          <w:rFonts w:ascii="宋体" w:hAnsi="宋体" w:cs="宋体"/>
          <w:b/>
          <w:sz w:val="22"/>
          <w:szCs w:val="22"/>
        </w:rPr>
        <w:drawing>
          <wp:inline distT="0" distB="0" distL="0" distR="0">
            <wp:extent cx="3180080" cy="1628775"/>
            <wp:effectExtent l="0" t="0" r="5080" b="1905"/>
            <wp:docPr id="10" name="图表 8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after="156" w:afterLines="50"/>
        <w:jc w:val="center"/>
        <w:rPr>
          <w:rFonts w:ascii="宋体" w:hAnsi="宋体" w:cs="宋体"/>
          <w:b/>
          <w:sz w:val="22"/>
          <w:szCs w:val="22"/>
        </w:rPr>
      </w:pPr>
      <w:r>
        <w:rPr>
          <w:rFonts w:hint="eastAsia" w:ascii="宋体" w:hAnsi="宋体" w:cs="宋体"/>
          <w:b/>
          <w:sz w:val="22"/>
          <w:szCs w:val="22"/>
        </w:rPr>
        <w:t>图2  202</w:t>
      </w:r>
      <w:r>
        <w:rPr>
          <w:rFonts w:ascii="宋体" w:hAnsi="宋体" w:cs="宋体"/>
          <w:b/>
          <w:sz w:val="22"/>
          <w:szCs w:val="22"/>
        </w:rPr>
        <w:t>1</w:t>
      </w:r>
      <w:r>
        <w:rPr>
          <w:rFonts w:hint="eastAsia" w:ascii="宋体" w:hAnsi="宋体" w:cs="宋体"/>
          <w:b/>
          <w:sz w:val="22"/>
          <w:szCs w:val="22"/>
        </w:rPr>
        <w:t>年青浦区污染日首要污染物占比情况</w:t>
      </w:r>
    </w:p>
    <w:p>
      <w:pPr>
        <w:numPr>
          <w:ilvl w:val="0"/>
          <w:numId w:val="4"/>
        </w:numPr>
        <w:spacing w:line="360" w:lineRule="auto"/>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细颗粒物（PM</w:t>
      </w:r>
      <w:r>
        <w:rPr>
          <w:rFonts w:ascii="Times New Roman" w:hAnsi="Times New Roman" w:eastAsia="仿宋_GB2312" w:cs="Times New Roman"/>
          <w:sz w:val="28"/>
          <w:szCs w:val="28"/>
          <w:vertAlign w:val="subscript"/>
        </w:rPr>
        <w:t>2.5</w:t>
      </w:r>
      <w:r>
        <w:rPr>
          <w:rFonts w:ascii="Times New Roman" w:hAnsi="Times New Roman" w:eastAsia="仿宋_GB2312" w:cs="Times New Roman"/>
          <w:sz w:val="28"/>
          <w:szCs w:val="28"/>
        </w:rPr>
        <w:t>）</w:t>
      </w:r>
      <w:bookmarkEnd w:id="0"/>
    </w:p>
    <w:p>
      <w:pPr>
        <w:ind w:firstLine="560" w:firstLineChars="200"/>
        <w:rPr>
          <w:rFonts w:ascii="Times New Roman" w:hAnsi="Times New Roman" w:eastAsia="仿宋_GB2312" w:cs="Times New Roman"/>
          <w:sz w:val="28"/>
          <w:szCs w:val="28"/>
          <w:lang w:val="zh-CN"/>
        </w:rPr>
      </w:pPr>
      <w:bookmarkStart w:id="1" w:name="_Toc66439204"/>
      <w:r>
        <w:rPr>
          <w:rFonts w:hint="eastAsia" w:ascii="Times New Roman" w:hAnsi="Times New Roman" w:eastAsia="仿宋_GB2312" w:cs="Times New Roman"/>
          <w:sz w:val="28"/>
          <w:szCs w:val="28"/>
        </w:rPr>
        <w:t>2021</w:t>
      </w:r>
      <w:r>
        <w:rPr>
          <w:rFonts w:hint="eastAsia" w:ascii="Times New Roman" w:hAnsi="Times New Roman" w:eastAsia="仿宋_GB2312" w:cs="Times New Roman"/>
          <w:sz w:val="28"/>
          <w:szCs w:val="28"/>
          <w:lang w:val="zh-CN"/>
        </w:rPr>
        <w:t>年，青浦区PM</w:t>
      </w:r>
      <w:r>
        <w:rPr>
          <w:rFonts w:hint="eastAsia" w:ascii="Times New Roman" w:hAnsi="Times New Roman" w:eastAsia="仿宋_GB2312" w:cs="Times New Roman"/>
          <w:sz w:val="28"/>
          <w:szCs w:val="28"/>
          <w:vertAlign w:val="subscript"/>
          <w:lang w:val="zh-CN"/>
        </w:rPr>
        <w:t>2.5</w:t>
      </w:r>
      <w:r>
        <w:rPr>
          <w:rFonts w:hint="eastAsia" w:ascii="Times New Roman" w:hAnsi="Times New Roman" w:eastAsia="仿宋_GB2312" w:cs="Times New Roman"/>
          <w:sz w:val="28"/>
          <w:szCs w:val="28"/>
          <w:lang w:val="zh-CN"/>
        </w:rPr>
        <w:t>年均浓度为</w:t>
      </w:r>
      <w:r>
        <w:rPr>
          <w:rFonts w:hint="eastAsia" w:ascii="Times New Roman" w:hAnsi="Times New Roman" w:eastAsia="仿宋_GB2312" w:cs="Times New Roman"/>
          <w:sz w:val="28"/>
          <w:szCs w:val="28"/>
        </w:rPr>
        <w:t>30</w:t>
      </w:r>
      <w:r>
        <w:rPr>
          <w:rFonts w:hint="eastAsia" w:ascii="Times New Roman" w:hAnsi="Times New Roman" w:eastAsia="仿宋_GB2312" w:cs="Times New Roman"/>
          <w:sz w:val="28"/>
          <w:szCs w:val="28"/>
          <w:lang w:val="zh-CN"/>
        </w:rPr>
        <w:t>微克/立方米（图</w:t>
      </w:r>
      <w:r>
        <w:rPr>
          <w:rFonts w:hint="eastAsia" w:ascii="Times New Roman" w:hAnsi="Times New Roman" w:eastAsia="仿宋_GB2312" w:cs="Times New Roman"/>
          <w:sz w:val="28"/>
          <w:szCs w:val="28"/>
        </w:rPr>
        <w:t>3</w:t>
      </w:r>
      <w:r>
        <w:rPr>
          <w:rFonts w:hint="eastAsia" w:ascii="Times New Roman" w:hAnsi="Times New Roman" w:eastAsia="仿宋_GB2312" w:cs="Times New Roman"/>
          <w:sz w:val="28"/>
          <w:szCs w:val="28"/>
          <w:lang w:val="zh-CN"/>
        </w:rPr>
        <w:t>），达到《环境空气质量标准》（GB3095-2012）年均二级标准限值（35微克/立方米），较2020年（34微克/立方米）相比，降幅为11.8%。日均浓度达到《环境空气质量标准》（GB3095-2012）日均二级标准限值（75微克/立方米）的天数为</w:t>
      </w:r>
      <w:r>
        <w:rPr>
          <w:rFonts w:hint="eastAsia" w:ascii="Times New Roman" w:hAnsi="Times New Roman" w:eastAsia="仿宋_GB2312" w:cs="Times New Roman"/>
          <w:sz w:val="28"/>
          <w:szCs w:val="28"/>
        </w:rPr>
        <w:t>98.6</w:t>
      </w:r>
      <w:r>
        <w:rPr>
          <w:rFonts w:hint="eastAsia" w:ascii="Times New Roman" w:hAnsi="Times New Roman" w:eastAsia="仿宋_GB2312" w:cs="Times New Roman"/>
          <w:sz w:val="28"/>
          <w:szCs w:val="28"/>
          <w:lang w:val="zh-CN"/>
        </w:rPr>
        <w:t>%。</w:t>
      </w:r>
    </w:p>
    <w:p>
      <w:pPr>
        <w:widowControl/>
        <w:ind w:firstLine="420" w:firstLineChars="200"/>
        <w:jc w:val="center"/>
        <w:rPr>
          <w:rFonts w:ascii="宋体" w:hAnsi="宋体" w:cs="宋体"/>
          <w:b/>
          <w:sz w:val="22"/>
          <w:szCs w:val="22"/>
        </w:rPr>
      </w:pPr>
      <w:r>
        <w:drawing>
          <wp:inline distT="0" distB="0" distL="0" distR="0">
            <wp:extent cx="3952875" cy="1914525"/>
            <wp:effectExtent l="0" t="0" r="9525" b="5715"/>
            <wp:docPr id="49" name="图表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widowControl/>
        <w:ind w:firstLine="442" w:firstLineChars="200"/>
        <w:jc w:val="center"/>
        <w:rPr>
          <w:rFonts w:ascii="宋体" w:hAnsi="宋体" w:cs="宋体"/>
          <w:b/>
          <w:sz w:val="22"/>
          <w:szCs w:val="22"/>
        </w:rPr>
      </w:pPr>
      <w:r>
        <w:rPr>
          <w:rFonts w:hint="eastAsia" w:ascii="宋体" w:hAnsi="宋体" w:cs="宋体"/>
          <w:b/>
          <w:sz w:val="22"/>
          <w:szCs w:val="22"/>
        </w:rPr>
        <w:t>图3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w:t>
      </w:r>
      <w:r>
        <w:rPr>
          <w:rFonts w:ascii="宋体" w:hAnsi="宋体" w:cs="宋体"/>
          <w:b/>
          <w:sz w:val="22"/>
          <w:szCs w:val="22"/>
        </w:rPr>
        <w:t>区</w:t>
      </w:r>
      <w:r>
        <w:rPr>
          <w:rFonts w:hint="eastAsia" w:ascii="宋体" w:hAnsi="宋体" w:cs="宋体"/>
          <w:b/>
          <w:sz w:val="22"/>
          <w:szCs w:val="22"/>
        </w:rPr>
        <w:t>PM</w:t>
      </w:r>
      <w:r>
        <w:rPr>
          <w:rFonts w:hint="eastAsia" w:ascii="Times New Roman" w:hAnsi="Times New Roman" w:eastAsia="楷体_GB2312"/>
          <w:b/>
          <w:sz w:val="32"/>
          <w:szCs w:val="32"/>
          <w:vertAlign w:val="subscript"/>
        </w:rPr>
        <w:t>2.5</w:t>
      </w:r>
      <w:r>
        <w:rPr>
          <w:rFonts w:hint="eastAsia" w:ascii="宋体" w:hAnsi="宋体" w:cs="宋体"/>
          <w:b/>
          <w:sz w:val="22"/>
          <w:szCs w:val="22"/>
        </w:rPr>
        <w:t>年均浓度比较</w:t>
      </w:r>
    </w:p>
    <w:p>
      <w:pPr>
        <w:spacing w:line="560" w:lineRule="exact"/>
        <w:ind w:firstLine="640" w:firstLineChars="200"/>
        <w:rPr>
          <w:rFonts w:ascii="Times New Roman" w:hAnsi="Times New Roman" w:eastAsia="仿宋_GB2312"/>
          <w:sz w:val="32"/>
          <w:szCs w:val="32"/>
        </w:rPr>
      </w:pPr>
    </w:p>
    <w:p>
      <w:pPr>
        <w:spacing w:line="560" w:lineRule="exact"/>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2021年，青浦区PM</w:t>
      </w:r>
      <w:r>
        <w:rPr>
          <w:rFonts w:hint="eastAsia" w:ascii="Times New Roman" w:hAnsi="Times New Roman" w:eastAsia="仿宋_GB2312" w:cs="Times New Roman"/>
          <w:sz w:val="28"/>
          <w:szCs w:val="28"/>
          <w:vertAlign w:val="subscript"/>
        </w:rPr>
        <w:t>2.5</w:t>
      </w:r>
      <w:r>
        <w:rPr>
          <w:rFonts w:hint="eastAsia" w:ascii="Times New Roman" w:hAnsi="Times New Roman" w:eastAsia="仿宋_GB2312" w:cs="Times New Roman"/>
          <w:sz w:val="28"/>
          <w:szCs w:val="28"/>
        </w:rPr>
        <w:t>月均值变化呈春、冬季高，夏、秋季低的特征（图4）。PM</w:t>
      </w:r>
      <w:r>
        <w:rPr>
          <w:rFonts w:hint="eastAsia" w:ascii="Times New Roman" w:hAnsi="Times New Roman" w:eastAsia="仿宋_GB2312" w:cs="Times New Roman"/>
          <w:sz w:val="28"/>
          <w:szCs w:val="28"/>
          <w:vertAlign w:val="subscript"/>
        </w:rPr>
        <w:t>2.5</w:t>
      </w:r>
      <w:r>
        <w:rPr>
          <w:rFonts w:hint="eastAsia" w:ascii="Times New Roman" w:hAnsi="Times New Roman" w:eastAsia="仿宋_GB2312" w:cs="Times New Roman"/>
          <w:sz w:val="28"/>
          <w:szCs w:val="28"/>
        </w:rPr>
        <w:t>最大月均值出现在12月，月均值为46微克/立方米；最小月均值出现在7月，月均值为18微克/立方米。由于夏季大气扩散条件较好，颗粒物浓度较低；冬季整体风速较小，扩散条件不利，颗粒物浓度较高。2021年，青浦区PM</w:t>
      </w:r>
      <w:r>
        <w:rPr>
          <w:rFonts w:hint="eastAsia" w:ascii="Times New Roman" w:hAnsi="Times New Roman" w:eastAsia="仿宋_GB2312" w:cs="Times New Roman"/>
          <w:sz w:val="28"/>
          <w:szCs w:val="28"/>
          <w:vertAlign w:val="subscript"/>
        </w:rPr>
        <w:t>2.5</w:t>
      </w:r>
      <w:r>
        <w:rPr>
          <w:rFonts w:hint="eastAsia" w:ascii="Times New Roman" w:hAnsi="Times New Roman" w:eastAsia="仿宋_GB2312" w:cs="Times New Roman"/>
          <w:sz w:val="28"/>
          <w:szCs w:val="28"/>
        </w:rPr>
        <w:t>月均值变化趋势与上年度基本相同。</w:t>
      </w:r>
    </w:p>
    <w:p>
      <w:pPr>
        <w:pStyle w:val="2"/>
        <w:spacing w:line="240" w:lineRule="auto"/>
        <w:rPr>
          <w:rFonts w:ascii="宋体" w:hAnsi="宋体" w:cs="宋体"/>
          <w:sz w:val="22"/>
          <w:szCs w:val="22"/>
        </w:rPr>
      </w:pPr>
      <w:r>
        <w:rPr>
          <w:rFonts w:hint="eastAsia" w:ascii="宋体" w:hAnsi="宋体" w:cs="宋体"/>
          <w:sz w:val="22"/>
          <w:szCs w:val="22"/>
        </w:rPr>
        <w:drawing>
          <wp:inline distT="0" distB="0" distL="0" distR="0">
            <wp:extent cx="4105275" cy="1990725"/>
            <wp:effectExtent l="0" t="0" r="9525" b="5715"/>
            <wp:docPr id="4" name="图表 5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2"/>
        <w:spacing w:line="240" w:lineRule="auto"/>
        <w:rPr>
          <w:rFonts w:ascii="宋体" w:hAnsi="宋体" w:cs="宋体"/>
          <w:b w:val="0"/>
          <w:sz w:val="22"/>
          <w:szCs w:val="22"/>
        </w:rPr>
      </w:pPr>
      <w:r>
        <w:rPr>
          <w:rFonts w:hint="eastAsia" w:ascii="宋体" w:hAnsi="宋体" w:cs="宋体"/>
          <w:sz w:val="22"/>
          <w:szCs w:val="22"/>
        </w:rPr>
        <w:t xml:space="preserve">图4  </w:t>
      </w:r>
      <w:r>
        <w:rPr>
          <w:rFonts w:hint="eastAsia" w:ascii="宋体" w:hAnsi="宋体" w:cs="宋体"/>
          <w:bCs w:val="0"/>
          <w:sz w:val="22"/>
          <w:szCs w:val="22"/>
        </w:rPr>
        <w:t>20</w:t>
      </w:r>
      <w:r>
        <w:rPr>
          <w:rFonts w:ascii="宋体" w:hAnsi="宋体" w:cs="宋体"/>
          <w:bCs w:val="0"/>
          <w:sz w:val="22"/>
          <w:szCs w:val="22"/>
        </w:rPr>
        <w:t>20</w:t>
      </w:r>
      <w:r>
        <w:rPr>
          <w:rFonts w:hint="eastAsia" w:ascii="宋体" w:hAnsi="宋体" w:cs="宋体"/>
          <w:bCs w:val="0"/>
          <w:sz w:val="22"/>
          <w:szCs w:val="22"/>
        </w:rPr>
        <w:t>-202</w:t>
      </w:r>
      <w:r>
        <w:rPr>
          <w:rFonts w:ascii="宋体" w:hAnsi="宋体" w:cs="宋体"/>
          <w:bCs w:val="0"/>
          <w:sz w:val="22"/>
          <w:szCs w:val="22"/>
        </w:rPr>
        <w:t>1</w:t>
      </w:r>
      <w:r>
        <w:rPr>
          <w:rFonts w:hint="eastAsia" w:ascii="宋体" w:hAnsi="宋体" w:cs="宋体"/>
          <w:sz w:val="22"/>
          <w:szCs w:val="22"/>
        </w:rPr>
        <w:t>年青浦</w:t>
      </w:r>
      <w:r>
        <w:rPr>
          <w:rFonts w:ascii="宋体" w:hAnsi="宋体" w:cs="宋体"/>
          <w:sz w:val="22"/>
          <w:szCs w:val="22"/>
        </w:rPr>
        <w:t>区</w:t>
      </w:r>
      <w:r>
        <w:rPr>
          <w:rFonts w:hint="eastAsia" w:ascii="宋体" w:hAnsi="宋体" w:cs="宋体"/>
          <w:sz w:val="22"/>
          <w:szCs w:val="22"/>
        </w:rPr>
        <w:t>PM</w:t>
      </w:r>
      <w:r>
        <w:rPr>
          <w:rFonts w:hint="eastAsia" w:ascii="Times New Roman" w:hAnsi="Times New Roman" w:eastAsia="仿宋_GB2312"/>
          <w:sz w:val="32"/>
          <w:szCs w:val="32"/>
          <w:vertAlign w:val="subscript"/>
        </w:rPr>
        <w:t>2.5</w:t>
      </w:r>
      <w:r>
        <w:rPr>
          <w:rFonts w:hint="eastAsia" w:ascii="宋体" w:hAnsi="宋体" w:cs="宋体"/>
          <w:sz w:val="22"/>
          <w:szCs w:val="22"/>
        </w:rPr>
        <w:t>浓度月平均浓度比较</w:t>
      </w:r>
    </w:p>
    <w:p>
      <w:pPr>
        <w:pStyle w:val="9"/>
        <w:spacing w:before="240" w:line="360" w:lineRule="auto"/>
        <w:ind w:firstLine="56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lang w:val="en-US"/>
        </w:rPr>
        <w:t>2.</w:t>
      </w:r>
      <w:r>
        <w:rPr>
          <w:rFonts w:ascii="Times New Roman" w:hAnsi="Times New Roman" w:eastAsia="仿宋_GB2312" w:cs="Times New Roman"/>
          <w:sz w:val="28"/>
          <w:szCs w:val="28"/>
        </w:rPr>
        <w:t>可吸入颗粒物（PM</w:t>
      </w:r>
      <w:r>
        <w:rPr>
          <w:rFonts w:ascii="Times New Roman" w:hAnsi="Times New Roman" w:eastAsia="仿宋_GB2312" w:cs="Times New Roman"/>
          <w:sz w:val="28"/>
          <w:szCs w:val="28"/>
          <w:vertAlign w:val="subscript"/>
        </w:rPr>
        <w:t>10</w:t>
      </w:r>
      <w:r>
        <w:rPr>
          <w:rFonts w:ascii="Times New Roman" w:hAnsi="Times New Roman" w:eastAsia="仿宋_GB2312" w:cs="Times New Roman"/>
          <w:sz w:val="28"/>
          <w:szCs w:val="28"/>
        </w:rPr>
        <w:t>）</w:t>
      </w:r>
      <w:bookmarkEnd w:id="1"/>
    </w:p>
    <w:p>
      <w:pPr>
        <w:spacing w:line="560" w:lineRule="exact"/>
        <w:ind w:firstLine="560" w:firstLineChars="200"/>
        <w:rPr>
          <w:rFonts w:ascii="Times New Roman" w:hAnsi="Times New Roman" w:eastAsia="仿宋_GB2312" w:cs="Times New Roman"/>
          <w:sz w:val="28"/>
          <w:szCs w:val="28"/>
          <w:lang w:val="zh-CN"/>
        </w:rPr>
      </w:pPr>
      <w:bookmarkStart w:id="2" w:name="_Toc66439205"/>
      <w:r>
        <w:rPr>
          <w:rFonts w:hint="eastAsia" w:ascii="Times New Roman" w:hAnsi="Times New Roman" w:eastAsia="仿宋_GB2312" w:cs="Times New Roman"/>
          <w:sz w:val="28"/>
          <w:szCs w:val="28"/>
          <w:lang w:val="zh-CN"/>
        </w:rPr>
        <w:t>2021年，青浦区PM</w:t>
      </w:r>
      <w:r>
        <w:rPr>
          <w:rFonts w:hint="eastAsia" w:ascii="Times New Roman" w:hAnsi="Times New Roman" w:eastAsia="仿宋_GB2312" w:cs="Times New Roman"/>
          <w:sz w:val="28"/>
          <w:szCs w:val="28"/>
          <w:vertAlign w:val="subscript"/>
          <w:lang w:val="zh-CN"/>
        </w:rPr>
        <w:t>10</w:t>
      </w:r>
      <w:r>
        <w:rPr>
          <w:rFonts w:hint="eastAsia" w:ascii="Times New Roman" w:hAnsi="Times New Roman" w:eastAsia="仿宋_GB2312" w:cs="Times New Roman"/>
          <w:sz w:val="28"/>
          <w:szCs w:val="28"/>
          <w:lang w:val="zh-CN"/>
        </w:rPr>
        <w:t>年均浓度为46微克/立方米（图</w:t>
      </w:r>
      <w:r>
        <w:rPr>
          <w:rFonts w:hint="eastAsia" w:ascii="Times New Roman" w:hAnsi="Times New Roman" w:eastAsia="仿宋_GB2312" w:cs="Times New Roman"/>
          <w:sz w:val="28"/>
          <w:szCs w:val="28"/>
        </w:rPr>
        <w:t>5</w:t>
      </w:r>
      <w:r>
        <w:rPr>
          <w:rFonts w:hint="eastAsia" w:ascii="Times New Roman" w:hAnsi="Times New Roman" w:eastAsia="仿宋_GB2312" w:cs="Times New Roman"/>
          <w:sz w:val="28"/>
          <w:szCs w:val="28"/>
          <w:lang w:val="zh-CN"/>
        </w:rPr>
        <w:t>），达到《环境空气质量标准》（GB3095-2012）二级标准限值（70微克/立方米），较2020年（44微克/立方米）相比，增幅为4.5%。其中，日均浓度达到二级标准限值（150微克/立方米）的天数为99.2%。</w:t>
      </w:r>
    </w:p>
    <w:p>
      <w:pPr>
        <w:widowControl/>
        <w:jc w:val="center"/>
        <w:rPr>
          <w:rFonts w:ascii="宋体" w:hAnsi="宋体" w:cs="宋体"/>
          <w:b/>
          <w:sz w:val="22"/>
          <w:szCs w:val="22"/>
        </w:rPr>
      </w:pPr>
      <w:r>
        <w:rPr>
          <w:rFonts w:ascii="宋体" w:hAnsi="宋体" w:cs="宋体"/>
          <w:b/>
          <w:sz w:val="22"/>
          <w:szCs w:val="22"/>
        </w:rPr>
        <w:drawing>
          <wp:inline distT="0" distB="0" distL="0" distR="0">
            <wp:extent cx="4143375" cy="2143125"/>
            <wp:effectExtent l="0" t="0" r="1905" b="5715"/>
            <wp:docPr id="6" name="图表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widowControl/>
        <w:jc w:val="center"/>
        <w:rPr>
          <w:rFonts w:ascii="宋体" w:hAnsi="宋体" w:cs="宋体"/>
          <w:b/>
          <w:sz w:val="22"/>
          <w:szCs w:val="22"/>
        </w:rPr>
      </w:pPr>
      <w:r>
        <w:rPr>
          <w:rFonts w:hint="eastAsia" w:ascii="宋体" w:hAnsi="宋体" w:cs="宋体"/>
          <w:b/>
          <w:sz w:val="22"/>
          <w:szCs w:val="22"/>
        </w:rPr>
        <w:t>图5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w:t>
      </w:r>
      <w:r>
        <w:rPr>
          <w:rFonts w:ascii="宋体" w:hAnsi="宋体" w:cs="宋体"/>
          <w:b/>
          <w:sz w:val="22"/>
          <w:szCs w:val="22"/>
        </w:rPr>
        <w:t>区</w:t>
      </w:r>
      <w:r>
        <w:rPr>
          <w:rFonts w:hint="eastAsia" w:ascii="宋体" w:hAnsi="宋体" w:cs="宋体"/>
          <w:b/>
          <w:sz w:val="22"/>
          <w:szCs w:val="22"/>
        </w:rPr>
        <w:t>PM</w:t>
      </w:r>
      <w:r>
        <w:rPr>
          <w:rFonts w:hint="eastAsia" w:ascii="Times New Roman" w:hAnsi="Times New Roman" w:eastAsia="楷体_GB2312"/>
          <w:b/>
          <w:sz w:val="32"/>
          <w:szCs w:val="32"/>
          <w:vertAlign w:val="subscript"/>
        </w:rPr>
        <w:t>10</w:t>
      </w:r>
      <w:r>
        <w:rPr>
          <w:rFonts w:hint="eastAsia" w:ascii="宋体" w:hAnsi="宋体" w:cs="宋体"/>
          <w:b/>
          <w:sz w:val="22"/>
          <w:szCs w:val="22"/>
        </w:rPr>
        <w:t>年均浓度比较图</w:t>
      </w:r>
    </w:p>
    <w:p>
      <w:pPr>
        <w:spacing w:line="560" w:lineRule="exact"/>
        <w:ind w:firstLine="560" w:firstLineChars="200"/>
        <w:rPr>
          <w:rFonts w:ascii="Times New Roman" w:hAnsi="Times New Roman" w:eastAsia="仿宋_GB2312"/>
          <w:sz w:val="32"/>
          <w:szCs w:val="32"/>
        </w:rPr>
      </w:pPr>
      <w:r>
        <w:rPr>
          <w:rFonts w:hint="eastAsia" w:ascii="Times New Roman" w:hAnsi="Times New Roman" w:eastAsia="仿宋_GB2312" w:cs="Times New Roman"/>
          <w:sz w:val="28"/>
          <w:szCs w:val="28"/>
          <w:lang w:val="zh-CN"/>
        </w:rPr>
        <w:t>202</w:t>
      </w:r>
      <w:r>
        <w:rPr>
          <w:rFonts w:ascii="Times New Roman" w:hAnsi="Times New Roman" w:eastAsia="仿宋_GB2312" w:cs="Times New Roman"/>
          <w:sz w:val="28"/>
          <w:szCs w:val="28"/>
          <w:lang w:val="zh-CN"/>
        </w:rPr>
        <w:t>1</w:t>
      </w:r>
      <w:r>
        <w:rPr>
          <w:rFonts w:hint="eastAsia" w:ascii="Times New Roman" w:hAnsi="Times New Roman" w:eastAsia="仿宋_GB2312" w:cs="Times New Roman"/>
          <w:sz w:val="28"/>
          <w:szCs w:val="28"/>
          <w:lang w:val="zh-CN"/>
        </w:rPr>
        <w:t>年，青浦区PM</w:t>
      </w:r>
      <w:r>
        <w:rPr>
          <w:rFonts w:hint="eastAsia" w:ascii="Times New Roman" w:hAnsi="Times New Roman" w:eastAsia="仿宋_GB2312" w:cs="Times New Roman"/>
          <w:sz w:val="28"/>
          <w:szCs w:val="28"/>
          <w:vertAlign w:val="subscript"/>
          <w:lang w:val="zh-CN"/>
        </w:rPr>
        <w:t>10</w:t>
      </w:r>
      <w:r>
        <w:rPr>
          <w:rFonts w:hint="eastAsia" w:ascii="Times New Roman" w:hAnsi="Times New Roman" w:eastAsia="仿宋_GB2312" w:cs="Times New Roman"/>
          <w:sz w:val="28"/>
          <w:szCs w:val="28"/>
          <w:lang w:val="zh-CN"/>
        </w:rPr>
        <w:t>月均浓度呈现春、冬季高，夏、秋季低的特征；最高浓度出现在1月，月均值为</w:t>
      </w:r>
      <w:r>
        <w:rPr>
          <w:rFonts w:ascii="Times New Roman" w:hAnsi="Times New Roman" w:eastAsia="仿宋_GB2312" w:cs="Times New Roman"/>
          <w:sz w:val="28"/>
          <w:szCs w:val="28"/>
          <w:lang w:val="zh-CN"/>
        </w:rPr>
        <w:t>72</w:t>
      </w:r>
      <w:r>
        <w:rPr>
          <w:rFonts w:hint="eastAsia" w:ascii="Times New Roman" w:hAnsi="Times New Roman" w:eastAsia="仿宋_GB2312" w:cs="Times New Roman"/>
          <w:sz w:val="28"/>
          <w:szCs w:val="28"/>
          <w:lang w:val="zh-CN"/>
        </w:rPr>
        <w:t>微克/立方米；最低浓度出现于7月，月均值为</w:t>
      </w:r>
      <w:r>
        <w:rPr>
          <w:rFonts w:ascii="Times New Roman" w:hAnsi="Times New Roman" w:eastAsia="仿宋_GB2312" w:cs="Times New Roman"/>
          <w:sz w:val="28"/>
          <w:szCs w:val="28"/>
          <w:lang w:val="zh-CN"/>
        </w:rPr>
        <w:t>27</w:t>
      </w:r>
      <w:r>
        <w:rPr>
          <w:rFonts w:hint="eastAsia" w:ascii="Times New Roman" w:hAnsi="Times New Roman" w:eastAsia="仿宋_GB2312" w:cs="Times New Roman"/>
          <w:sz w:val="28"/>
          <w:szCs w:val="28"/>
          <w:lang w:val="zh-CN"/>
        </w:rPr>
        <w:t>微克/立方米。2</w:t>
      </w:r>
      <w:r>
        <w:rPr>
          <w:rFonts w:ascii="Times New Roman" w:hAnsi="Times New Roman" w:eastAsia="仿宋_GB2312" w:cs="Times New Roman"/>
          <w:sz w:val="28"/>
          <w:szCs w:val="28"/>
          <w:lang w:val="zh-CN"/>
        </w:rPr>
        <w:t>021</w:t>
      </w:r>
      <w:r>
        <w:rPr>
          <w:rFonts w:hint="eastAsia" w:ascii="Times New Roman" w:hAnsi="Times New Roman" w:eastAsia="仿宋_GB2312" w:cs="Times New Roman"/>
          <w:sz w:val="28"/>
          <w:szCs w:val="28"/>
          <w:lang w:val="zh-CN"/>
        </w:rPr>
        <w:t>年，青浦区PM</w:t>
      </w:r>
      <w:r>
        <w:rPr>
          <w:rFonts w:hint="eastAsia" w:ascii="Times New Roman" w:hAnsi="Times New Roman" w:eastAsia="仿宋_GB2312" w:cs="Times New Roman"/>
          <w:sz w:val="28"/>
          <w:szCs w:val="28"/>
          <w:vertAlign w:val="subscript"/>
          <w:lang w:val="zh-CN"/>
        </w:rPr>
        <w:t>10</w:t>
      </w:r>
      <w:r>
        <w:rPr>
          <w:rFonts w:hint="eastAsia" w:ascii="Times New Roman" w:hAnsi="Times New Roman" w:eastAsia="仿宋_GB2312" w:cs="Times New Roman"/>
          <w:sz w:val="28"/>
          <w:szCs w:val="28"/>
          <w:lang w:val="zh-CN"/>
        </w:rPr>
        <w:t>月均值变化趋势与上年度基本一致（图</w:t>
      </w:r>
      <w:r>
        <w:rPr>
          <w:rFonts w:hint="eastAsia" w:ascii="Times New Roman" w:hAnsi="Times New Roman" w:eastAsia="仿宋_GB2312" w:cs="Times New Roman"/>
          <w:sz w:val="28"/>
          <w:szCs w:val="28"/>
        </w:rPr>
        <w:t>6</w:t>
      </w:r>
      <w:r>
        <w:rPr>
          <w:rFonts w:hint="eastAsia" w:ascii="Times New Roman" w:hAnsi="Times New Roman" w:eastAsia="仿宋_GB2312" w:cs="Times New Roman"/>
          <w:sz w:val="28"/>
          <w:szCs w:val="28"/>
          <w:lang w:val="zh-CN"/>
        </w:rPr>
        <w:t>）。</w:t>
      </w:r>
    </w:p>
    <w:p>
      <w:pPr>
        <w:spacing w:after="312" w:afterLines="100"/>
        <w:jc w:val="center"/>
        <w:rPr>
          <w:rFonts w:ascii="宋体" w:hAnsi="宋体" w:cs="宋体"/>
          <w:b/>
          <w:sz w:val="22"/>
          <w:szCs w:val="22"/>
        </w:rPr>
      </w:pPr>
      <w:r>
        <w:rPr>
          <w:rFonts w:ascii="宋体" w:hAnsi="宋体" w:cs="宋体"/>
          <w:b/>
          <w:sz w:val="22"/>
          <w:szCs w:val="22"/>
        </w:rPr>
        <w:drawing>
          <wp:inline distT="0" distB="0" distL="0" distR="0">
            <wp:extent cx="4143375" cy="2371725"/>
            <wp:effectExtent l="0" t="0" r="1905" b="5715"/>
            <wp:docPr id="14" name="图表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after="312" w:afterLines="100"/>
        <w:jc w:val="center"/>
        <w:rPr>
          <w:rFonts w:ascii="宋体" w:hAnsi="宋体" w:cs="宋体"/>
          <w:b/>
          <w:sz w:val="22"/>
          <w:szCs w:val="22"/>
        </w:rPr>
      </w:pPr>
      <w:r>
        <w:rPr>
          <w:rFonts w:hint="eastAsia" w:ascii="宋体" w:hAnsi="宋体" w:cs="宋体"/>
          <w:b/>
          <w:sz w:val="22"/>
          <w:szCs w:val="22"/>
        </w:rPr>
        <w:t>图6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w:t>
      </w:r>
      <w:r>
        <w:rPr>
          <w:rFonts w:ascii="宋体" w:hAnsi="宋体" w:cs="宋体"/>
          <w:b/>
          <w:sz w:val="22"/>
          <w:szCs w:val="22"/>
        </w:rPr>
        <w:t>区</w:t>
      </w:r>
      <w:r>
        <w:rPr>
          <w:rFonts w:hint="eastAsia" w:ascii="宋体" w:hAnsi="宋体" w:cs="宋体"/>
          <w:b/>
          <w:sz w:val="22"/>
          <w:szCs w:val="22"/>
        </w:rPr>
        <w:t>PM</w:t>
      </w:r>
      <w:r>
        <w:rPr>
          <w:rFonts w:hint="eastAsia" w:ascii="Times New Roman" w:hAnsi="Times New Roman" w:eastAsia="楷体_GB2312"/>
          <w:b/>
          <w:sz w:val="32"/>
          <w:szCs w:val="32"/>
          <w:vertAlign w:val="subscript"/>
        </w:rPr>
        <w:t>10</w:t>
      </w:r>
      <w:r>
        <w:rPr>
          <w:rFonts w:hint="eastAsia" w:ascii="宋体" w:hAnsi="宋体" w:cs="宋体"/>
          <w:b/>
          <w:sz w:val="22"/>
          <w:szCs w:val="22"/>
        </w:rPr>
        <w:t>月均浓度变化图</w:t>
      </w:r>
    </w:p>
    <w:p>
      <w:pPr>
        <w:pStyle w:val="10"/>
        <w:spacing w:before="312" w:beforeLines="100"/>
        <w:ind w:firstLine="560" w:firstLineChars="200"/>
        <w:jc w:val="left"/>
        <w:rPr>
          <w:rFonts w:ascii="Times New Roman" w:hAnsi="Times New Roman" w:eastAsia="仿宋_GB2312" w:cs="Times New Roman"/>
          <w:kern w:val="2"/>
          <w:sz w:val="28"/>
          <w:szCs w:val="28"/>
        </w:rPr>
      </w:pPr>
      <w:r>
        <w:rPr>
          <w:rFonts w:hint="eastAsia" w:ascii="Times New Roman" w:hAnsi="Times New Roman" w:eastAsia="仿宋_GB2312" w:cs="Times New Roman"/>
          <w:kern w:val="2"/>
          <w:sz w:val="28"/>
          <w:szCs w:val="28"/>
          <w:lang w:val="en-US"/>
        </w:rPr>
        <w:t>3.</w:t>
      </w:r>
      <w:r>
        <w:rPr>
          <w:rFonts w:ascii="Times New Roman" w:hAnsi="Times New Roman" w:eastAsia="仿宋_GB2312" w:cs="Times New Roman"/>
          <w:kern w:val="2"/>
          <w:sz w:val="28"/>
          <w:szCs w:val="28"/>
        </w:rPr>
        <w:t>臭氧(O</w:t>
      </w:r>
      <w:r>
        <w:rPr>
          <w:rFonts w:ascii="Times New Roman" w:hAnsi="Times New Roman" w:eastAsia="仿宋_GB2312" w:cs="Times New Roman"/>
          <w:kern w:val="2"/>
          <w:sz w:val="28"/>
          <w:szCs w:val="28"/>
          <w:vertAlign w:val="subscript"/>
        </w:rPr>
        <w:t>3</w:t>
      </w:r>
      <w:r>
        <w:rPr>
          <w:rFonts w:ascii="Times New Roman" w:hAnsi="Times New Roman" w:eastAsia="仿宋_GB2312" w:cs="Times New Roman"/>
          <w:kern w:val="2"/>
          <w:sz w:val="28"/>
          <w:szCs w:val="28"/>
        </w:rPr>
        <w:t>)</w:t>
      </w:r>
      <w:bookmarkEnd w:id="2"/>
    </w:p>
    <w:p>
      <w:pPr>
        <w:widowControl/>
        <w:ind w:firstLine="560"/>
        <w:jc w:val="left"/>
        <w:rPr>
          <w:rFonts w:ascii="Times New Roman" w:hAnsi="Times New Roman" w:eastAsia="仿宋_GB2312" w:cs="Times New Roman"/>
          <w:sz w:val="28"/>
          <w:szCs w:val="28"/>
          <w:lang w:val="zh-CN"/>
        </w:rPr>
      </w:pPr>
      <w:r>
        <w:rPr>
          <w:rFonts w:hint="eastAsia" w:ascii="Times New Roman" w:hAnsi="Times New Roman" w:eastAsia="仿宋_GB2312" w:cs="Times New Roman"/>
          <w:sz w:val="28"/>
          <w:szCs w:val="28"/>
          <w:lang w:val="zh-CN"/>
        </w:rPr>
        <w:t>2021年，青浦区环境空气中O</w:t>
      </w:r>
      <w:r>
        <w:rPr>
          <w:rFonts w:hint="eastAsia" w:ascii="Times New Roman" w:hAnsi="Times New Roman" w:eastAsia="仿宋_GB2312" w:cs="Times New Roman"/>
          <w:sz w:val="28"/>
          <w:szCs w:val="28"/>
          <w:vertAlign w:val="subscript"/>
          <w:lang w:val="zh-CN"/>
        </w:rPr>
        <w:t>3</w:t>
      </w:r>
      <w:r>
        <w:rPr>
          <w:rFonts w:hint="eastAsia" w:ascii="Times New Roman" w:hAnsi="Times New Roman" w:eastAsia="仿宋_GB2312" w:cs="Times New Roman"/>
          <w:sz w:val="28"/>
          <w:szCs w:val="28"/>
          <w:lang w:val="zh-CN"/>
        </w:rPr>
        <w:t>的日最大8小时滑动平均值第90百分位数浓度为153微克/立方米（图</w:t>
      </w:r>
      <w:r>
        <w:rPr>
          <w:rFonts w:hint="eastAsia" w:ascii="Times New Roman" w:hAnsi="Times New Roman" w:eastAsia="仿宋_GB2312" w:cs="Times New Roman"/>
          <w:sz w:val="28"/>
          <w:szCs w:val="28"/>
        </w:rPr>
        <w:t>7</w:t>
      </w:r>
      <w:r>
        <w:rPr>
          <w:rFonts w:hint="eastAsia" w:ascii="Times New Roman" w:hAnsi="Times New Roman" w:eastAsia="仿宋_GB2312" w:cs="Times New Roman"/>
          <w:sz w:val="28"/>
          <w:szCs w:val="28"/>
          <w:lang w:val="zh-CN"/>
        </w:rPr>
        <w:t>），符合《环境空气质量标准》（GB3095-2012）二级标准要求，较2020年（160微克/立方米）相比，降幅为4.4%。其中，日最大8小时平均值浓度达到二级</w:t>
      </w:r>
      <w:bookmarkStart w:id="3" w:name="_Toc66439206"/>
      <w:r>
        <w:rPr>
          <w:rFonts w:hint="eastAsia" w:ascii="Times New Roman" w:hAnsi="Times New Roman" w:eastAsia="仿宋_GB2312" w:cs="Times New Roman"/>
          <w:sz w:val="28"/>
          <w:szCs w:val="28"/>
          <w:lang w:val="zh-CN"/>
        </w:rPr>
        <w:t>标准限值的天数为93.2%。</w:t>
      </w:r>
    </w:p>
    <w:p>
      <w:pPr>
        <w:widowControl/>
        <w:ind w:firstLine="560"/>
        <w:jc w:val="center"/>
        <w:rPr>
          <w:rFonts w:ascii="Times New Roman" w:hAnsi="Times New Roman"/>
          <w:kern w:val="0"/>
          <w:sz w:val="24"/>
        </w:rPr>
      </w:pPr>
      <w:r>
        <w:drawing>
          <wp:inline distT="0" distB="0" distL="0" distR="0">
            <wp:extent cx="3803650" cy="2332990"/>
            <wp:effectExtent l="0" t="0" r="6350" b="1397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spacing w:after="156" w:afterLines="50"/>
        <w:jc w:val="center"/>
        <w:rPr>
          <w:rFonts w:ascii="宋体" w:hAnsi="宋体" w:cs="宋体"/>
          <w:b/>
          <w:color w:val="FF0000"/>
          <w:sz w:val="22"/>
          <w:szCs w:val="22"/>
        </w:rPr>
      </w:pPr>
      <w:r>
        <w:rPr>
          <w:rFonts w:hint="eastAsia" w:ascii="宋体" w:hAnsi="宋体" w:cs="宋体"/>
          <w:b/>
          <w:sz w:val="22"/>
          <w:szCs w:val="22"/>
        </w:rPr>
        <w:t>图7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w:t>
      </w:r>
      <w:r>
        <w:rPr>
          <w:rFonts w:ascii="宋体" w:hAnsi="宋体" w:cs="宋体"/>
          <w:b/>
          <w:sz w:val="22"/>
          <w:szCs w:val="22"/>
        </w:rPr>
        <w:t>区</w:t>
      </w:r>
      <w:r>
        <w:rPr>
          <w:rFonts w:hint="eastAsia" w:ascii="宋体" w:hAnsi="宋体" w:cs="宋体"/>
          <w:b/>
          <w:sz w:val="22"/>
          <w:szCs w:val="22"/>
        </w:rPr>
        <w:t>O</w:t>
      </w:r>
      <w:r>
        <w:rPr>
          <w:rFonts w:hint="eastAsia" w:ascii="Times New Roman" w:hAnsi="Times New Roman" w:eastAsia="楷体_GB2312"/>
          <w:b/>
          <w:sz w:val="32"/>
          <w:szCs w:val="32"/>
          <w:vertAlign w:val="subscript"/>
        </w:rPr>
        <w:t>3</w:t>
      </w:r>
      <w:r>
        <w:rPr>
          <w:rFonts w:hint="eastAsia" w:ascii="宋体" w:hAnsi="宋体" w:cs="宋体"/>
          <w:b/>
          <w:sz w:val="22"/>
          <w:szCs w:val="22"/>
        </w:rPr>
        <w:t>的日最大8小时平均第90百分位数浓度比较</w:t>
      </w:r>
    </w:p>
    <w:p>
      <w:pPr>
        <w:widowControl/>
        <w:ind w:firstLine="560" w:firstLineChars="200"/>
        <w:jc w:val="left"/>
        <w:rPr>
          <w:rFonts w:ascii="Times New Roman" w:hAnsi="Times New Roman" w:eastAsia="仿宋_GB2312" w:cs="Times New Roman"/>
          <w:sz w:val="28"/>
          <w:szCs w:val="28"/>
          <w:lang w:val="zh-CN"/>
        </w:rPr>
      </w:pPr>
      <w:r>
        <w:rPr>
          <w:rFonts w:hint="eastAsia" w:ascii="Times New Roman" w:hAnsi="Times New Roman" w:eastAsia="仿宋_GB2312" w:cs="Times New Roman"/>
          <w:sz w:val="28"/>
          <w:szCs w:val="28"/>
          <w:lang w:val="zh-CN"/>
        </w:rPr>
        <w:t>2021年，O</w:t>
      </w:r>
      <w:r>
        <w:rPr>
          <w:rFonts w:hint="eastAsia" w:ascii="Times New Roman" w:hAnsi="Times New Roman" w:eastAsia="仿宋_GB2312" w:cs="Times New Roman"/>
          <w:sz w:val="28"/>
          <w:szCs w:val="28"/>
          <w:vertAlign w:val="subscript"/>
          <w:lang w:val="zh-CN"/>
        </w:rPr>
        <w:t>3</w:t>
      </w:r>
      <w:r>
        <w:rPr>
          <w:rFonts w:hint="eastAsia" w:ascii="Times New Roman" w:hAnsi="Times New Roman" w:eastAsia="仿宋_GB2312" w:cs="Times New Roman"/>
          <w:sz w:val="28"/>
          <w:szCs w:val="28"/>
          <w:lang w:val="zh-CN"/>
        </w:rPr>
        <w:t>日最大8小时滑动平均值第90百分位数浓度基本呈现夏、秋季高，春、冬季低的特征（图</w:t>
      </w:r>
      <w:r>
        <w:rPr>
          <w:rFonts w:hint="eastAsia" w:ascii="Times New Roman" w:hAnsi="Times New Roman" w:eastAsia="仿宋_GB2312" w:cs="Times New Roman"/>
          <w:sz w:val="28"/>
          <w:szCs w:val="28"/>
        </w:rPr>
        <w:t>8</w:t>
      </w:r>
      <w:r>
        <w:rPr>
          <w:rFonts w:hint="eastAsia" w:ascii="Times New Roman" w:hAnsi="Times New Roman" w:eastAsia="仿宋_GB2312" w:cs="Times New Roman"/>
          <w:sz w:val="28"/>
          <w:szCs w:val="28"/>
          <w:lang w:val="zh-CN"/>
        </w:rPr>
        <w:t>）。5月份浓度最高，为133微克/立方米，12月份浓度最低，为53微克/立方米；O</w:t>
      </w:r>
      <w:r>
        <w:rPr>
          <w:rFonts w:hint="eastAsia" w:ascii="Times New Roman" w:hAnsi="Times New Roman" w:eastAsia="仿宋_GB2312" w:cs="Times New Roman"/>
          <w:sz w:val="28"/>
          <w:szCs w:val="28"/>
          <w:vertAlign w:val="subscript"/>
          <w:lang w:val="zh-CN"/>
        </w:rPr>
        <w:t>3</w:t>
      </w:r>
      <w:r>
        <w:rPr>
          <w:rFonts w:hint="eastAsia" w:ascii="Times New Roman" w:hAnsi="Times New Roman" w:eastAsia="仿宋_GB2312" w:cs="Times New Roman"/>
          <w:sz w:val="28"/>
          <w:szCs w:val="28"/>
          <w:lang w:val="zh-CN"/>
        </w:rPr>
        <w:t>日最大8小时平均值浓度的变化趋势与上年度基本相同。</w:t>
      </w:r>
    </w:p>
    <w:p>
      <w:pPr>
        <w:jc w:val="center"/>
        <w:rPr>
          <w:rFonts w:ascii="Times New Roman" w:hAnsi="Times New Roman"/>
        </w:rPr>
      </w:pPr>
      <w:r>
        <w:drawing>
          <wp:inline distT="0" distB="0" distL="0" distR="0">
            <wp:extent cx="4008120" cy="2435860"/>
            <wp:effectExtent l="0" t="0" r="0" b="2540"/>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spacing w:after="156" w:afterLines="50"/>
        <w:jc w:val="center"/>
        <w:rPr>
          <w:rFonts w:eastAsia="黑体"/>
          <w:b/>
          <w:szCs w:val="21"/>
        </w:rPr>
      </w:pPr>
      <w:r>
        <w:rPr>
          <w:rFonts w:hint="eastAsia" w:ascii="宋体" w:hAnsi="宋体" w:cs="宋体"/>
          <w:b/>
          <w:sz w:val="22"/>
          <w:szCs w:val="22"/>
        </w:rPr>
        <w:t>图8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w:t>
      </w:r>
      <w:r>
        <w:rPr>
          <w:rFonts w:ascii="宋体" w:hAnsi="宋体" w:cs="宋体"/>
          <w:b/>
          <w:sz w:val="22"/>
          <w:szCs w:val="22"/>
        </w:rPr>
        <w:t>区</w:t>
      </w:r>
      <w:r>
        <w:rPr>
          <w:rFonts w:hint="eastAsia" w:ascii="宋体" w:hAnsi="宋体" w:cs="宋体"/>
          <w:b/>
          <w:sz w:val="22"/>
          <w:szCs w:val="22"/>
        </w:rPr>
        <w:t>平均O</w:t>
      </w:r>
      <w:r>
        <w:rPr>
          <w:rFonts w:hint="eastAsia" w:ascii="Times New Roman" w:hAnsi="Times New Roman" w:eastAsia="楷体_GB2312"/>
          <w:b/>
          <w:sz w:val="32"/>
          <w:szCs w:val="32"/>
          <w:vertAlign w:val="subscript"/>
        </w:rPr>
        <w:t>3</w:t>
      </w:r>
      <w:r>
        <w:rPr>
          <w:rFonts w:hint="eastAsia" w:ascii="宋体" w:hAnsi="宋体" w:cs="宋体"/>
          <w:b/>
          <w:sz w:val="22"/>
          <w:szCs w:val="22"/>
        </w:rPr>
        <w:t>指数月均值比较</w:t>
      </w:r>
    </w:p>
    <w:p>
      <w:pPr>
        <w:pStyle w:val="9"/>
        <w:numPr>
          <w:ilvl w:val="0"/>
          <w:numId w:val="5"/>
        </w:numPr>
        <w:spacing w:line="360" w:lineRule="auto"/>
        <w:ind w:left="420" w:leftChars="200" w:firstLine="280" w:firstLineChars="100"/>
        <w:rPr>
          <w:rFonts w:ascii="Times New Roman" w:hAnsi="Times New Roman" w:eastAsia="仿宋_GB2312" w:cs="Times New Roman"/>
          <w:bCs/>
          <w:sz w:val="28"/>
          <w:szCs w:val="28"/>
        </w:rPr>
      </w:pPr>
      <w:r>
        <w:rPr>
          <w:rFonts w:ascii="Times New Roman" w:hAnsi="Times New Roman" w:eastAsia="仿宋_GB2312" w:cs="Times New Roman"/>
          <w:bCs/>
          <w:sz w:val="28"/>
          <w:szCs w:val="28"/>
        </w:rPr>
        <w:t>二氧化硫（S0</w:t>
      </w:r>
      <w:r>
        <w:rPr>
          <w:rFonts w:ascii="Times New Roman" w:hAnsi="Times New Roman" w:eastAsia="仿宋_GB2312" w:cs="Times New Roman"/>
          <w:bCs/>
          <w:sz w:val="28"/>
          <w:szCs w:val="28"/>
          <w:vertAlign w:val="subscript"/>
        </w:rPr>
        <w:t>2</w:t>
      </w:r>
      <w:r>
        <w:rPr>
          <w:rFonts w:ascii="Times New Roman" w:hAnsi="Times New Roman" w:eastAsia="仿宋_GB2312" w:cs="Times New Roman"/>
          <w:bCs/>
          <w:sz w:val="28"/>
          <w:szCs w:val="28"/>
        </w:rPr>
        <w:t>）</w:t>
      </w:r>
      <w:bookmarkEnd w:id="3"/>
    </w:p>
    <w:p>
      <w:pPr>
        <w:spacing w:line="560" w:lineRule="exact"/>
        <w:ind w:firstLine="560" w:firstLineChars="200"/>
        <w:rPr>
          <w:rFonts w:ascii="Times New Roman" w:hAnsi="Times New Roman" w:eastAsia="仿宋_GB2312" w:cs="Times New Roman"/>
          <w:sz w:val="28"/>
          <w:szCs w:val="28"/>
          <w:lang w:val="zh-CN"/>
        </w:rPr>
      </w:pPr>
      <w:bookmarkStart w:id="4" w:name="_Toc66439207"/>
      <w:r>
        <w:rPr>
          <w:rFonts w:hint="eastAsia" w:ascii="Times New Roman" w:hAnsi="Times New Roman" w:eastAsia="仿宋_GB2312" w:cs="Times New Roman"/>
          <w:sz w:val="28"/>
          <w:szCs w:val="28"/>
          <w:lang w:val="zh-CN"/>
        </w:rPr>
        <w:t>2021年，青浦区SO</w:t>
      </w:r>
      <w:r>
        <w:rPr>
          <w:rFonts w:hint="eastAsia" w:ascii="Times New Roman" w:hAnsi="Times New Roman" w:eastAsia="仿宋_GB2312" w:cs="Times New Roman"/>
          <w:sz w:val="28"/>
          <w:szCs w:val="28"/>
          <w:vertAlign w:val="subscript"/>
          <w:lang w:val="zh-CN"/>
        </w:rPr>
        <w:t>2</w:t>
      </w:r>
      <w:r>
        <w:rPr>
          <w:rFonts w:hint="eastAsia" w:ascii="Times New Roman" w:hAnsi="Times New Roman" w:eastAsia="仿宋_GB2312" w:cs="Times New Roman"/>
          <w:sz w:val="28"/>
          <w:szCs w:val="28"/>
          <w:lang w:val="zh-CN"/>
        </w:rPr>
        <w:t>年均值为5微克/立方米，达到《环境空气质量标准》（GB3095-2012）一级标准限值（20微克/立方米），较2020年（6微克/立方米）下降1微克/立方米，改善率为16.7%（图</w:t>
      </w:r>
      <w:r>
        <w:rPr>
          <w:rFonts w:hint="eastAsia" w:ascii="Times New Roman" w:hAnsi="Times New Roman" w:eastAsia="仿宋_GB2312" w:cs="Times New Roman"/>
          <w:sz w:val="28"/>
          <w:szCs w:val="28"/>
        </w:rPr>
        <w:t>9</w:t>
      </w:r>
      <w:r>
        <w:rPr>
          <w:rFonts w:hint="eastAsia" w:ascii="Times New Roman" w:hAnsi="Times New Roman" w:eastAsia="仿宋_GB2312" w:cs="Times New Roman"/>
          <w:sz w:val="28"/>
          <w:szCs w:val="28"/>
          <w:lang w:val="zh-CN"/>
        </w:rPr>
        <w:t>）。</w:t>
      </w:r>
    </w:p>
    <w:p>
      <w:pPr>
        <w:spacing w:line="360" w:lineRule="auto"/>
        <w:jc w:val="center"/>
        <w:rPr>
          <w:rFonts w:ascii="Times New Roman" w:hAnsi="Times New Roman"/>
        </w:rPr>
      </w:pPr>
      <w:r>
        <w:drawing>
          <wp:inline distT="0" distB="0" distL="0" distR="0">
            <wp:extent cx="3952875" cy="2066925"/>
            <wp:effectExtent l="0" t="0" r="9525" b="5715"/>
            <wp:docPr id="51" name="图表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spacing w:after="156" w:afterLines="50"/>
        <w:jc w:val="center"/>
        <w:rPr>
          <w:rFonts w:ascii="宋体" w:hAnsi="宋体" w:cs="宋体"/>
          <w:b/>
          <w:sz w:val="22"/>
          <w:szCs w:val="22"/>
        </w:rPr>
      </w:pPr>
      <w:r>
        <w:rPr>
          <w:rFonts w:hint="eastAsia" w:ascii="宋体" w:hAnsi="宋体" w:cs="宋体"/>
          <w:b/>
          <w:sz w:val="22"/>
          <w:szCs w:val="22"/>
        </w:rPr>
        <w:t>图9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w:t>
      </w:r>
      <w:r>
        <w:rPr>
          <w:rFonts w:ascii="宋体" w:hAnsi="宋体" w:cs="宋体"/>
          <w:b/>
          <w:sz w:val="22"/>
          <w:szCs w:val="22"/>
        </w:rPr>
        <w:t>区</w:t>
      </w:r>
      <w:r>
        <w:rPr>
          <w:rFonts w:hint="eastAsia" w:ascii="宋体" w:hAnsi="宋体" w:cs="宋体"/>
          <w:b/>
          <w:sz w:val="22"/>
          <w:szCs w:val="22"/>
        </w:rPr>
        <w:t>二氧化硫年均浓度比较</w:t>
      </w:r>
    </w:p>
    <w:p>
      <w:pPr>
        <w:spacing w:line="560" w:lineRule="exact"/>
        <w:ind w:firstLine="560" w:firstLineChars="200"/>
        <w:rPr>
          <w:rFonts w:ascii="Times New Roman" w:hAnsi="Times New Roman" w:eastAsia="仿宋_GB2312" w:cs="Times New Roman"/>
          <w:sz w:val="28"/>
          <w:szCs w:val="28"/>
          <w:lang w:val="zh-CN"/>
        </w:rPr>
      </w:pPr>
      <w:r>
        <w:rPr>
          <w:rFonts w:hint="eastAsia" w:ascii="Times New Roman" w:hAnsi="Times New Roman" w:eastAsia="仿宋_GB2312" w:cs="Times New Roman"/>
          <w:sz w:val="28"/>
          <w:szCs w:val="28"/>
          <w:lang w:val="zh-CN"/>
        </w:rPr>
        <w:t>202</w:t>
      </w:r>
      <w:r>
        <w:rPr>
          <w:rFonts w:ascii="Times New Roman" w:hAnsi="Times New Roman" w:eastAsia="仿宋_GB2312" w:cs="Times New Roman"/>
          <w:sz w:val="28"/>
          <w:szCs w:val="28"/>
          <w:lang w:val="zh-CN"/>
        </w:rPr>
        <w:t>1</w:t>
      </w:r>
      <w:r>
        <w:rPr>
          <w:rFonts w:hint="eastAsia" w:ascii="Times New Roman" w:hAnsi="Times New Roman" w:eastAsia="仿宋_GB2312" w:cs="Times New Roman"/>
          <w:sz w:val="28"/>
          <w:szCs w:val="28"/>
          <w:lang w:val="zh-CN"/>
        </w:rPr>
        <w:t>年，SO</w:t>
      </w:r>
      <w:r>
        <w:rPr>
          <w:rFonts w:hint="eastAsia" w:ascii="Times New Roman" w:hAnsi="Times New Roman" w:eastAsia="仿宋_GB2312" w:cs="Times New Roman"/>
          <w:sz w:val="28"/>
          <w:szCs w:val="28"/>
          <w:vertAlign w:val="subscript"/>
          <w:lang w:val="zh-CN"/>
        </w:rPr>
        <w:t>2</w:t>
      </w:r>
      <w:r>
        <w:rPr>
          <w:rFonts w:hint="eastAsia" w:ascii="Times New Roman" w:hAnsi="Times New Roman" w:eastAsia="仿宋_GB2312" w:cs="Times New Roman"/>
          <w:sz w:val="28"/>
          <w:szCs w:val="28"/>
          <w:lang w:val="zh-CN"/>
        </w:rPr>
        <w:t>月均浓度整体呈冬季高、夏季低的趋势（图</w:t>
      </w:r>
      <w:r>
        <w:rPr>
          <w:rFonts w:hint="eastAsia" w:ascii="Times New Roman" w:hAnsi="Times New Roman" w:eastAsia="仿宋_GB2312" w:cs="Times New Roman"/>
          <w:sz w:val="28"/>
          <w:szCs w:val="28"/>
        </w:rPr>
        <w:t>10</w:t>
      </w:r>
      <w:r>
        <w:rPr>
          <w:rFonts w:hint="eastAsia" w:ascii="Times New Roman" w:hAnsi="Times New Roman" w:eastAsia="仿宋_GB2312" w:cs="Times New Roman"/>
          <w:sz w:val="28"/>
          <w:szCs w:val="28"/>
          <w:lang w:val="zh-CN"/>
        </w:rPr>
        <w:t>）。</w:t>
      </w:r>
      <w:r>
        <w:rPr>
          <w:rFonts w:ascii="Times New Roman" w:hAnsi="Times New Roman" w:eastAsia="仿宋_GB2312" w:cs="Times New Roman"/>
          <w:sz w:val="28"/>
          <w:szCs w:val="28"/>
          <w:lang w:val="zh-CN"/>
        </w:rPr>
        <w:t>1</w:t>
      </w:r>
      <w:r>
        <w:rPr>
          <w:rFonts w:hint="eastAsia" w:ascii="Times New Roman" w:hAnsi="Times New Roman" w:eastAsia="仿宋_GB2312" w:cs="Times New Roman"/>
          <w:sz w:val="28"/>
          <w:szCs w:val="28"/>
          <w:lang w:val="zh-CN"/>
        </w:rPr>
        <w:t>月浓度最高，为8微克/立方米，</w:t>
      </w:r>
      <w:r>
        <w:rPr>
          <w:rFonts w:ascii="Times New Roman" w:hAnsi="Times New Roman" w:eastAsia="仿宋_GB2312" w:cs="Times New Roman"/>
          <w:sz w:val="28"/>
          <w:szCs w:val="28"/>
          <w:lang w:val="zh-CN"/>
        </w:rPr>
        <w:t>5</w:t>
      </w:r>
      <w:r>
        <w:rPr>
          <w:rFonts w:hint="eastAsia" w:ascii="Times New Roman" w:hAnsi="Times New Roman" w:eastAsia="仿宋_GB2312" w:cs="Times New Roman"/>
          <w:sz w:val="28"/>
          <w:szCs w:val="28"/>
          <w:lang w:val="zh-CN"/>
        </w:rPr>
        <w:t>、6、7、1</w:t>
      </w:r>
      <w:r>
        <w:rPr>
          <w:rFonts w:ascii="Times New Roman" w:hAnsi="Times New Roman" w:eastAsia="仿宋_GB2312" w:cs="Times New Roman"/>
          <w:sz w:val="28"/>
          <w:szCs w:val="28"/>
          <w:lang w:val="zh-CN"/>
        </w:rPr>
        <w:t>0</w:t>
      </w:r>
      <w:r>
        <w:rPr>
          <w:rFonts w:hint="eastAsia" w:ascii="Times New Roman" w:hAnsi="Times New Roman" w:eastAsia="仿宋_GB2312" w:cs="Times New Roman"/>
          <w:sz w:val="28"/>
          <w:szCs w:val="28"/>
          <w:lang w:val="zh-CN"/>
        </w:rPr>
        <w:t>月浓度最低，均为4微克/立方米；SO</w:t>
      </w:r>
      <w:r>
        <w:rPr>
          <w:rFonts w:hint="eastAsia" w:ascii="Times New Roman" w:hAnsi="Times New Roman" w:eastAsia="仿宋_GB2312" w:cs="Times New Roman"/>
          <w:sz w:val="28"/>
          <w:szCs w:val="28"/>
          <w:vertAlign w:val="subscript"/>
          <w:lang w:val="zh-CN"/>
        </w:rPr>
        <w:t>2</w:t>
      </w:r>
      <w:r>
        <w:rPr>
          <w:rFonts w:hint="eastAsia" w:ascii="Times New Roman" w:hAnsi="Times New Roman" w:eastAsia="仿宋_GB2312" w:cs="Times New Roman"/>
          <w:sz w:val="28"/>
          <w:szCs w:val="28"/>
          <w:lang w:val="zh-CN"/>
        </w:rPr>
        <w:t>月均浓度的变化趋势与上年度基本相同。</w:t>
      </w:r>
    </w:p>
    <w:p>
      <w:pPr>
        <w:jc w:val="center"/>
        <w:rPr>
          <w:rFonts w:ascii="Times New Roman" w:hAnsi="Times New Roman"/>
          <w:sz w:val="28"/>
          <w:szCs w:val="28"/>
        </w:rPr>
      </w:pPr>
      <w:r>
        <w:drawing>
          <wp:inline distT="0" distB="0" distL="0" distR="0">
            <wp:extent cx="3895725" cy="2124075"/>
            <wp:effectExtent l="0" t="0" r="5715" b="9525"/>
            <wp:docPr id="57" name="图表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spacing w:after="156" w:afterLines="50"/>
        <w:jc w:val="center"/>
        <w:rPr>
          <w:rFonts w:ascii="宋体" w:hAnsi="宋体" w:cs="宋体"/>
          <w:b/>
          <w:sz w:val="22"/>
          <w:szCs w:val="22"/>
        </w:rPr>
      </w:pPr>
      <w:r>
        <w:rPr>
          <w:rFonts w:hint="eastAsia" w:ascii="宋体" w:hAnsi="宋体" w:cs="宋体"/>
          <w:b/>
          <w:sz w:val="22"/>
          <w:szCs w:val="22"/>
        </w:rPr>
        <w:t>图10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w:t>
      </w:r>
      <w:r>
        <w:rPr>
          <w:rFonts w:ascii="宋体" w:hAnsi="宋体" w:cs="宋体"/>
          <w:b/>
          <w:sz w:val="22"/>
          <w:szCs w:val="22"/>
        </w:rPr>
        <w:t>区</w:t>
      </w:r>
      <w:r>
        <w:rPr>
          <w:rFonts w:hint="eastAsia" w:ascii="宋体" w:hAnsi="宋体" w:cs="宋体"/>
          <w:b/>
          <w:sz w:val="22"/>
          <w:szCs w:val="22"/>
        </w:rPr>
        <w:t>平均SO</w:t>
      </w:r>
      <w:r>
        <w:rPr>
          <w:rFonts w:hint="eastAsia" w:ascii="Times New Roman" w:hAnsi="Times New Roman" w:eastAsia="楷体_GB2312"/>
          <w:b/>
          <w:sz w:val="32"/>
          <w:szCs w:val="32"/>
          <w:vertAlign w:val="subscript"/>
        </w:rPr>
        <w:t>2</w:t>
      </w:r>
      <w:r>
        <w:rPr>
          <w:rFonts w:hint="eastAsia" w:ascii="宋体" w:hAnsi="宋体" w:cs="宋体"/>
          <w:b/>
          <w:sz w:val="22"/>
          <w:szCs w:val="22"/>
        </w:rPr>
        <w:t>浓度月均变化比较</w:t>
      </w:r>
    </w:p>
    <w:p>
      <w:pPr>
        <w:numPr>
          <w:ilvl w:val="0"/>
          <w:numId w:val="5"/>
        </w:numPr>
        <w:spacing w:line="360" w:lineRule="auto"/>
        <w:ind w:left="420" w:leftChars="200" w:firstLine="280" w:firstLineChars="100"/>
        <w:jc w:val="left"/>
        <w:rPr>
          <w:rFonts w:ascii="Times New Roman" w:hAnsi="Times New Roman" w:eastAsia="仿宋_GB2312" w:cs="Times New Roman"/>
          <w:sz w:val="28"/>
          <w:szCs w:val="30"/>
        </w:rPr>
      </w:pPr>
      <w:r>
        <w:rPr>
          <w:rFonts w:ascii="Times New Roman" w:hAnsi="Times New Roman" w:eastAsia="仿宋_GB2312" w:cs="Times New Roman"/>
          <w:sz w:val="28"/>
          <w:szCs w:val="30"/>
        </w:rPr>
        <w:t>二氧化氮（NO</w:t>
      </w:r>
      <w:r>
        <w:rPr>
          <w:rFonts w:ascii="Times New Roman" w:hAnsi="Times New Roman" w:eastAsia="仿宋_GB2312" w:cs="Times New Roman"/>
          <w:sz w:val="28"/>
          <w:szCs w:val="30"/>
          <w:vertAlign w:val="subscript"/>
        </w:rPr>
        <w:t>2</w:t>
      </w:r>
      <w:r>
        <w:rPr>
          <w:rFonts w:ascii="Times New Roman" w:hAnsi="Times New Roman" w:eastAsia="仿宋_GB2312" w:cs="Times New Roman"/>
          <w:sz w:val="28"/>
          <w:szCs w:val="30"/>
        </w:rPr>
        <w:t>）</w:t>
      </w:r>
      <w:bookmarkEnd w:id="4"/>
    </w:p>
    <w:p>
      <w:pPr>
        <w:spacing w:line="560" w:lineRule="exact"/>
        <w:ind w:firstLine="560" w:firstLineChars="200"/>
        <w:rPr>
          <w:rFonts w:ascii="Times New Roman" w:hAnsi="Times New Roman" w:eastAsia="仿宋_GB2312" w:cs="Times New Roman"/>
          <w:sz w:val="28"/>
          <w:szCs w:val="28"/>
          <w:lang w:val="zh-CN"/>
        </w:rPr>
      </w:pPr>
      <w:bookmarkStart w:id="5" w:name="_Toc66439208"/>
      <w:r>
        <w:rPr>
          <w:rFonts w:hint="eastAsia" w:ascii="Times New Roman" w:hAnsi="Times New Roman" w:eastAsia="仿宋_GB2312" w:cs="Times New Roman"/>
          <w:sz w:val="28"/>
          <w:szCs w:val="28"/>
          <w:lang w:val="zh-CN"/>
        </w:rPr>
        <w:t>202</w:t>
      </w:r>
      <w:r>
        <w:rPr>
          <w:rFonts w:ascii="Times New Roman" w:hAnsi="Times New Roman" w:eastAsia="仿宋_GB2312" w:cs="Times New Roman"/>
          <w:sz w:val="28"/>
          <w:szCs w:val="28"/>
          <w:lang w:val="zh-CN"/>
        </w:rPr>
        <w:t>1</w:t>
      </w:r>
      <w:r>
        <w:rPr>
          <w:rFonts w:hint="eastAsia" w:ascii="Times New Roman" w:hAnsi="Times New Roman" w:eastAsia="仿宋_GB2312" w:cs="Times New Roman"/>
          <w:sz w:val="28"/>
          <w:szCs w:val="28"/>
          <w:lang w:val="zh-CN"/>
        </w:rPr>
        <w:t>年，青浦区NO</w:t>
      </w:r>
      <w:r>
        <w:rPr>
          <w:rFonts w:hint="eastAsia" w:ascii="Times New Roman" w:hAnsi="Times New Roman" w:eastAsia="仿宋_GB2312" w:cs="Times New Roman"/>
          <w:sz w:val="28"/>
          <w:szCs w:val="28"/>
          <w:vertAlign w:val="subscript"/>
          <w:lang w:val="zh-CN"/>
        </w:rPr>
        <w:t>2</w:t>
      </w:r>
      <w:r>
        <w:rPr>
          <w:rFonts w:hint="eastAsia" w:ascii="Times New Roman" w:hAnsi="Times New Roman" w:eastAsia="仿宋_GB2312" w:cs="Times New Roman"/>
          <w:sz w:val="28"/>
          <w:szCs w:val="28"/>
          <w:lang w:val="zh-CN"/>
        </w:rPr>
        <w:t>年日均浓度为</w:t>
      </w:r>
      <w:r>
        <w:rPr>
          <w:rFonts w:ascii="Times New Roman" w:hAnsi="Times New Roman" w:eastAsia="仿宋_GB2312" w:cs="Times New Roman"/>
          <w:sz w:val="28"/>
          <w:szCs w:val="28"/>
          <w:lang w:val="zh-CN"/>
        </w:rPr>
        <w:t>36</w:t>
      </w:r>
      <w:r>
        <w:rPr>
          <w:rFonts w:hint="eastAsia" w:ascii="Times New Roman" w:hAnsi="Times New Roman" w:eastAsia="仿宋_GB2312" w:cs="Times New Roman"/>
          <w:sz w:val="28"/>
          <w:szCs w:val="28"/>
          <w:lang w:val="zh-CN"/>
        </w:rPr>
        <w:t>微克/立方米（图1</w:t>
      </w:r>
      <w:r>
        <w:rPr>
          <w:rFonts w:hint="eastAsia" w:ascii="Times New Roman" w:hAnsi="Times New Roman" w:eastAsia="仿宋_GB2312" w:cs="Times New Roman"/>
          <w:sz w:val="28"/>
          <w:szCs w:val="28"/>
        </w:rPr>
        <w:t>1</w:t>
      </w:r>
      <w:r>
        <w:rPr>
          <w:rFonts w:hint="eastAsia" w:ascii="Times New Roman" w:hAnsi="Times New Roman" w:eastAsia="仿宋_GB2312" w:cs="Times New Roman"/>
          <w:sz w:val="28"/>
          <w:szCs w:val="28"/>
          <w:lang w:val="zh-CN"/>
        </w:rPr>
        <w:t>），达到《环境空气质量标准》（GB3095-2012）年均二级标准限值（40微克/立方米），较20</w:t>
      </w:r>
      <w:r>
        <w:rPr>
          <w:rFonts w:ascii="Times New Roman" w:hAnsi="Times New Roman" w:eastAsia="仿宋_GB2312" w:cs="Times New Roman"/>
          <w:sz w:val="28"/>
          <w:szCs w:val="28"/>
          <w:lang w:val="zh-CN"/>
        </w:rPr>
        <w:t>20</w:t>
      </w:r>
      <w:r>
        <w:rPr>
          <w:rFonts w:hint="eastAsia" w:ascii="Times New Roman" w:hAnsi="Times New Roman" w:eastAsia="仿宋_GB2312" w:cs="Times New Roman"/>
          <w:sz w:val="28"/>
          <w:szCs w:val="28"/>
          <w:lang w:val="zh-CN"/>
        </w:rPr>
        <w:t>年（</w:t>
      </w:r>
      <w:r>
        <w:rPr>
          <w:rFonts w:ascii="Times New Roman" w:hAnsi="Times New Roman" w:eastAsia="仿宋_GB2312" w:cs="Times New Roman"/>
          <w:sz w:val="28"/>
          <w:szCs w:val="28"/>
          <w:lang w:val="zh-CN"/>
        </w:rPr>
        <w:t>35</w:t>
      </w:r>
      <w:r>
        <w:rPr>
          <w:rFonts w:hint="eastAsia" w:ascii="Times New Roman" w:hAnsi="Times New Roman" w:eastAsia="仿宋_GB2312" w:cs="Times New Roman"/>
          <w:sz w:val="28"/>
          <w:szCs w:val="28"/>
          <w:lang w:val="zh-CN"/>
        </w:rPr>
        <w:t>微克/立方米）上升了</w:t>
      </w:r>
      <w:r>
        <w:rPr>
          <w:rFonts w:ascii="Times New Roman" w:hAnsi="Times New Roman" w:eastAsia="仿宋_GB2312" w:cs="Times New Roman"/>
          <w:sz w:val="28"/>
          <w:szCs w:val="28"/>
          <w:lang w:val="zh-CN"/>
        </w:rPr>
        <w:t>1</w:t>
      </w:r>
      <w:r>
        <w:rPr>
          <w:rFonts w:hint="eastAsia" w:ascii="Times New Roman" w:hAnsi="Times New Roman" w:eastAsia="仿宋_GB2312" w:cs="Times New Roman"/>
          <w:sz w:val="28"/>
          <w:szCs w:val="28"/>
          <w:lang w:val="zh-CN"/>
        </w:rPr>
        <w:t>微克/立方米，增幅为</w:t>
      </w:r>
      <w:r>
        <w:rPr>
          <w:rFonts w:ascii="Times New Roman" w:hAnsi="Times New Roman" w:eastAsia="仿宋_GB2312" w:cs="Times New Roman"/>
          <w:sz w:val="28"/>
          <w:szCs w:val="28"/>
          <w:lang w:val="zh-CN"/>
        </w:rPr>
        <w:t>2.9</w:t>
      </w:r>
      <w:r>
        <w:rPr>
          <w:rFonts w:hint="eastAsia" w:ascii="Times New Roman" w:hAnsi="Times New Roman" w:eastAsia="仿宋_GB2312" w:cs="Times New Roman"/>
          <w:sz w:val="28"/>
          <w:szCs w:val="28"/>
          <w:lang w:val="zh-CN"/>
        </w:rPr>
        <w:t>%。</w:t>
      </w:r>
    </w:p>
    <w:p>
      <w:pPr>
        <w:pStyle w:val="9"/>
        <w:spacing w:line="360" w:lineRule="auto"/>
        <w:ind w:firstLine="0" w:firstLineChars="0"/>
        <w:jc w:val="center"/>
        <w:rPr>
          <w:rFonts w:ascii="Times New Roman" w:hAnsi="Times New Roman"/>
          <w:highlight w:val="yellow"/>
        </w:rPr>
      </w:pPr>
      <w:r>
        <w:rPr>
          <w:highlight w:val="yellow"/>
          <w:lang w:val="en-US"/>
        </w:rPr>
        <w:drawing>
          <wp:inline distT="0" distB="0" distL="0" distR="0">
            <wp:extent cx="4067175" cy="1914525"/>
            <wp:effectExtent l="0" t="0" r="1905" b="5715"/>
            <wp:docPr id="52" name="图表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spacing w:after="156" w:afterLines="50"/>
        <w:jc w:val="center"/>
        <w:rPr>
          <w:rFonts w:ascii="宋体" w:hAnsi="宋体" w:cs="宋体"/>
          <w:b/>
          <w:sz w:val="22"/>
          <w:szCs w:val="22"/>
        </w:rPr>
      </w:pPr>
      <w:r>
        <w:rPr>
          <w:rFonts w:hint="eastAsia" w:ascii="宋体" w:hAnsi="宋体" w:cs="宋体"/>
          <w:b/>
          <w:sz w:val="22"/>
          <w:szCs w:val="22"/>
        </w:rPr>
        <w:t>图11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w:t>
      </w:r>
      <w:r>
        <w:rPr>
          <w:rFonts w:ascii="宋体" w:hAnsi="宋体" w:cs="宋体"/>
          <w:b/>
          <w:sz w:val="22"/>
          <w:szCs w:val="22"/>
        </w:rPr>
        <w:t>区</w:t>
      </w:r>
      <w:r>
        <w:rPr>
          <w:rFonts w:hint="eastAsia" w:ascii="宋体" w:hAnsi="宋体" w:cs="宋体"/>
          <w:b/>
          <w:sz w:val="22"/>
          <w:szCs w:val="22"/>
        </w:rPr>
        <w:t>NO</w:t>
      </w:r>
      <w:r>
        <w:rPr>
          <w:rFonts w:hint="eastAsia" w:ascii="Times New Roman" w:hAnsi="Times New Roman" w:eastAsia="楷体_GB2312"/>
          <w:b/>
          <w:sz w:val="32"/>
          <w:szCs w:val="32"/>
          <w:vertAlign w:val="subscript"/>
        </w:rPr>
        <w:t>2</w:t>
      </w:r>
      <w:r>
        <w:rPr>
          <w:rFonts w:hint="eastAsia" w:ascii="宋体" w:hAnsi="宋体" w:cs="宋体"/>
          <w:b/>
          <w:sz w:val="22"/>
          <w:szCs w:val="22"/>
        </w:rPr>
        <w:t>年均浓度比较</w:t>
      </w:r>
    </w:p>
    <w:p>
      <w:pPr>
        <w:spacing w:line="560" w:lineRule="exact"/>
        <w:ind w:firstLine="560" w:firstLineChars="200"/>
        <w:rPr>
          <w:rFonts w:ascii="Times New Roman" w:hAnsi="Times New Roman" w:eastAsia="仿宋_GB2312" w:cs="Times New Roman"/>
          <w:sz w:val="28"/>
          <w:szCs w:val="28"/>
          <w:lang w:val="zh-CN"/>
        </w:rPr>
      </w:pPr>
      <w:r>
        <w:rPr>
          <w:rFonts w:hint="eastAsia" w:ascii="Times New Roman" w:hAnsi="Times New Roman" w:eastAsia="仿宋_GB2312" w:cs="Times New Roman"/>
          <w:sz w:val="28"/>
          <w:szCs w:val="28"/>
          <w:lang w:val="zh-CN"/>
        </w:rPr>
        <w:t>2021年，青浦区NO</w:t>
      </w:r>
      <w:r>
        <w:rPr>
          <w:rFonts w:hint="eastAsia" w:ascii="Times New Roman" w:hAnsi="Times New Roman" w:eastAsia="仿宋_GB2312" w:cs="Times New Roman"/>
          <w:sz w:val="28"/>
          <w:szCs w:val="28"/>
          <w:vertAlign w:val="subscript"/>
          <w:lang w:val="zh-CN"/>
        </w:rPr>
        <w:t>2</w:t>
      </w:r>
      <w:r>
        <w:rPr>
          <w:rFonts w:hint="eastAsia" w:ascii="Times New Roman" w:hAnsi="Times New Roman" w:eastAsia="仿宋_GB2312" w:cs="Times New Roman"/>
          <w:sz w:val="28"/>
          <w:szCs w:val="28"/>
          <w:lang w:val="zh-CN"/>
        </w:rPr>
        <w:t>月平均浓度总体呈现冬、春、秋季高，夏季低的特征（图1</w:t>
      </w:r>
      <w:r>
        <w:rPr>
          <w:rFonts w:hint="eastAsia" w:ascii="Times New Roman" w:hAnsi="Times New Roman" w:eastAsia="仿宋_GB2312" w:cs="Times New Roman"/>
          <w:sz w:val="28"/>
          <w:szCs w:val="28"/>
        </w:rPr>
        <w:t>2</w:t>
      </w:r>
      <w:r>
        <w:rPr>
          <w:rFonts w:hint="eastAsia" w:ascii="Times New Roman" w:hAnsi="Times New Roman" w:eastAsia="仿宋_GB2312" w:cs="Times New Roman"/>
          <w:sz w:val="28"/>
          <w:szCs w:val="28"/>
          <w:lang w:val="zh-CN"/>
        </w:rPr>
        <w:t>）。12月平均浓度最高，为60微克/立方米，7月平均浓度最低，为18微克/立方米；2021年，青浦区NO</w:t>
      </w:r>
      <w:r>
        <w:rPr>
          <w:rFonts w:hint="eastAsia" w:ascii="Times New Roman" w:hAnsi="Times New Roman" w:eastAsia="仿宋_GB2312" w:cs="Times New Roman"/>
          <w:sz w:val="28"/>
          <w:szCs w:val="28"/>
          <w:vertAlign w:val="subscript"/>
          <w:lang w:val="zh-CN"/>
        </w:rPr>
        <w:t>2</w:t>
      </w:r>
      <w:r>
        <w:rPr>
          <w:rFonts w:hint="eastAsia" w:ascii="Times New Roman" w:hAnsi="Times New Roman" w:eastAsia="仿宋_GB2312" w:cs="Times New Roman"/>
          <w:sz w:val="28"/>
          <w:szCs w:val="28"/>
          <w:lang w:val="zh-CN"/>
        </w:rPr>
        <w:t>月平均浓度变化趋势与上年度基本相同。</w:t>
      </w:r>
    </w:p>
    <w:p>
      <w:pPr>
        <w:pStyle w:val="9"/>
        <w:spacing w:line="360" w:lineRule="auto"/>
        <w:ind w:firstLineChars="0"/>
        <w:jc w:val="center"/>
        <w:rPr>
          <w:rFonts w:ascii="Times New Roman" w:hAnsi="Times New Roman" w:eastAsia="黑体"/>
          <w:b/>
          <w:szCs w:val="21"/>
        </w:rPr>
      </w:pPr>
      <w:r>
        <w:rPr>
          <w:lang w:val="en-US"/>
        </w:rPr>
        <w:drawing>
          <wp:inline distT="0" distB="0" distL="0" distR="0">
            <wp:extent cx="3796030" cy="2062480"/>
            <wp:effectExtent l="0" t="0" r="13970" b="10160"/>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spacing w:after="156" w:afterLines="50"/>
        <w:jc w:val="center"/>
        <w:rPr>
          <w:rFonts w:ascii="宋体" w:hAnsi="宋体" w:cs="宋体"/>
          <w:b/>
          <w:color w:val="FF0000"/>
          <w:sz w:val="22"/>
          <w:szCs w:val="22"/>
        </w:rPr>
      </w:pPr>
      <w:r>
        <w:rPr>
          <w:rFonts w:hint="eastAsia" w:ascii="宋体" w:hAnsi="宋体" w:cs="宋体"/>
          <w:b/>
          <w:sz w:val="22"/>
          <w:szCs w:val="22"/>
        </w:rPr>
        <w:t>图12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年青浦区平均NO</w:t>
      </w:r>
      <w:r>
        <w:rPr>
          <w:rFonts w:hint="eastAsia" w:ascii="Times New Roman" w:hAnsi="Times New Roman" w:eastAsia="楷体_GB2312"/>
          <w:b/>
          <w:sz w:val="32"/>
          <w:szCs w:val="32"/>
          <w:vertAlign w:val="subscript"/>
        </w:rPr>
        <w:t>2</w:t>
      </w:r>
      <w:r>
        <w:rPr>
          <w:rFonts w:hint="eastAsia" w:ascii="宋体" w:hAnsi="宋体" w:cs="宋体"/>
          <w:b/>
          <w:sz w:val="22"/>
          <w:szCs w:val="22"/>
        </w:rPr>
        <w:t>浓度月均变化比较</w:t>
      </w:r>
    </w:p>
    <w:p>
      <w:pPr>
        <w:pStyle w:val="9"/>
        <w:numPr>
          <w:ilvl w:val="0"/>
          <w:numId w:val="5"/>
        </w:numPr>
        <w:spacing w:before="312" w:beforeLines="100" w:line="360" w:lineRule="auto"/>
        <w:ind w:left="420" w:leftChars="200" w:firstLine="280" w:firstLineChars="100"/>
        <w:jc w:val="left"/>
        <w:rPr>
          <w:rFonts w:ascii="Times New Roman" w:hAnsi="Times New Roman" w:eastAsia="仿宋_GB2312" w:cs="Times New Roman"/>
          <w:sz w:val="28"/>
          <w:szCs w:val="30"/>
        </w:rPr>
      </w:pPr>
      <w:r>
        <w:rPr>
          <w:rFonts w:ascii="Times New Roman" w:hAnsi="Times New Roman" w:eastAsia="仿宋_GB2312" w:cs="Times New Roman"/>
          <w:sz w:val="28"/>
          <w:szCs w:val="30"/>
        </w:rPr>
        <w:t>一氧化碳(CO)</w:t>
      </w:r>
      <w:bookmarkEnd w:id="5"/>
    </w:p>
    <w:p>
      <w:pPr>
        <w:spacing w:line="560" w:lineRule="exact"/>
        <w:ind w:firstLine="560" w:firstLineChars="200"/>
        <w:rPr>
          <w:rFonts w:ascii="Times New Roman" w:hAnsi="Times New Roman" w:eastAsia="仿宋_GB2312" w:cs="Times New Roman"/>
          <w:sz w:val="28"/>
          <w:szCs w:val="28"/>
          <w:lang w:val="zh-CN"/>
        </w:rPr>
      </w:pPr>
      <w:bookmarkStart w:id="6" w:name="_Toc66439209"/>
      <w:r>
        <w:rPr>
          <w:rFonts w:hint="eastAsia" w:ascii="Times New Roman" w:hAnsi="Times New Roman" w:eastAsia="仿宋_GB2312" w:cs="Times New Roman"/>
          <w:sz w:val="28"/>
          <w:szCs w:val="28"/>
          <w:lang w:val="zh-CN"/>
        </w:rPr>
        <w:t>2021年，青浦区环境空气中CO的24小时平均第95百分位数浓度为0.9毫克/立方米，达到《环境空气质量标准》（GB3095-2012）日均二级标准（4毫克/立方米），较2020年（1.0毫克/立方米）相比，降幅为10.0%（图1</w:t>
      </w:r>
      <w:r>
        <w:rPr>
          <w:rFonts w:hint="eastAsia" w:ascii="Times New Roman" w:hAnsi="Times New Roman" w:eastAsia="仿宋_GB2312" w:cs="Times New Roman"/>
          <w:sz w:val="28"/>
          <w:szCs w:val="28"/>
        </w:rPr>
        <w:t>3</w:t>
      </w:r>
      <w:r>
        <w:rPr>
          <w:rFonts w:hint="eastAsia" w:ascii="Times New Roman" w:hAnsi="Times New Roman" w:eastAsia="仿宋_GB2312" w:cs="Times New Roman"/>
          <w:sz w:val="28"/>
          <w:szCs w:val="28"/>
          <w:lang w:val="zh-CN"/>
        </w:rPr>
        <w:t>）。</w:t>
      </w:r>
    </w:p>
    <w:p>
      <w:pPr>
        <w:pStyle w:val="9"/>
        <w:spacing w:line="360" w:lineRule="auto"/>
        <w:ind w:firstLine="0" w:firstLineChars="0"/>
        <w:jc w:val="center"/>
        <w:rPr>
          <w:rFonts w:ascii="Times New Roman" w:hAnsi="Times New Roman"/>
        </w:rPr>
      </w:pPr>
      <w:r>
        <w:rPr>
          <w:lang w:val="en-US"/>
        </w:rPr>
        <w:drawing>
          <wp:inline distT="0" distB="0" distL="0" distR="0">
            <wp:extent cx="3714750" cy="1894205"/>
            <wp:effectExtent l="0" t="0" r="3810" b="10795"/>
            <wp:docPr id="53" name="图表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pPr>
        <w:spacing w:after="156" w:afterLines="50"/>
        <w:jc w:val="center"/>
        <w:rPr>
          <w:rFonts w:ascii="宋体" w:hAnsi="宋体" w:cs="宋体"/>
          <w:b/>
          <w:sz w:val="22"/>
          <w:szCs w:val="22"/>
        </w:rPr>
      </w:pPr>
      <w:r>
        <w:rPr>
          <w:rFonts w:hint="eastAsia" w:ascii="宋体" w:hAnsi="宋体" w:cs="宋体"/>
          <w:b/>
          <w:sz w:val="22"/>
          <w:szCs w:val="22"/>
        </w:rPr>
        <w:t>图13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w:t>
      </w:r>
      <w:r>
        <w:rPr>
          <w:rFonts w:ascii="宋体" w:hAnsi="宋体" w:cs="宋体"/>
          <w:b/>
          <w:sz w:val="22"/>
          <w:szCs w:val="22"/>
        </w:rPr>
        <w:t>区</w:t>
      </w:r>
      <w:r>
        <w:rPr>
          <w:rFonts w:hint="eastAsia" w:ascii="宋体" w:hAnsi="宋体" w:cs="宋体"/>
          <w:b/>
          <w:sz w:val="22"/>
          <w:szCs w:val="22"/>
        </w:rPr>
        <w:t>CO的24小时平均第95百分位数浓度比较</w:t>
      </w:r>
    </w:p>
    <w:p>
      <w:pPr>
        <w:spacing w:line="560" w:lineRule="exact"/>
        <w:ind w:firstLine="560" w:firstLineChars="200"/>
        <w:rPr>
          <w:rFonts w:ascii="Times New Roman" w:hAnsi="Times New Roman" w:eastAsia="仿宋_GB2312" w:cs="Times New Roman"/>
          <w:sz w:val="28"/>
          <w:szCs w:val="28"/>
          <w:lang w:val="zh-CN"/>
        </w:rPr>
      </w:pPr>
      <w:r>
        <w:rPr>
          <w:rFonts w:hint="eastAsia" w:ascii="Times New Roman" w:hAnsi="Times New Roman" w:eastAsia="仿宋_GB2312" w:cs="Times New Roman"/>
          <w:sz w:val="28"/>
          <w:szCs w:val="28"/>
          <w:lang w:val="zh-CN"/>
        </w:rPr>
        <w:t>2021年，青浦区CO的24小时平均第95百分位数浓度基本呈现冬季高，夏季低的特征（图1</w:t>
      </w:r>
      <w:r>
        <w:rPr>
          <w:rFonts w:hint="eastAsia" w:ascii="Times New Roman" w:hAnsi="Times New Roman" w:eastAsia="仿宋_GB2312" w:cs="Times New Roman"/>
          <w:sz w:val="28"/>
          <w:szCs w:val="28"/>
        </w:rPr>
        <w:t>4</w:t>
      </w:r>
      <w:r>
        <w:rPr>
          <w:rFonts w:hint="eastAsia" w:ascii="Times New Roman" w:hAnsi="Times New Roman" w:eastAsia="仿宋_GB2312" w:cs="Times New Roman"/>
          <w:sz w:val="28"/>
          <w:szCs w:val="28"/>
          <w:lang w:val="zh-CN"/>
        </w:rPr>
        <w:t>）。12月达到全年最高值（1.3毫克/立方米），7月为全年最低值（0.4毫克/立方米）。2021年，青浦区CO的24小时平均第95百分位数浓度的变化趋势上年度基本相同。</w:t>
      </w:r>
    </w:p>
    <w:p>
      <w:pPr>
        <w:spacing w:after="156" w:afterLines="50"/>
        <w:jc w:val="center"/>
        <w:rPr>
          <w:rFonts w:ascii="宋体" w:hAnsi="宋体" w:cs="宋体"/>
          <w:b/>
          <w:sz w:val="22"/>
          <w:szCs w:val="22"/>
        </w:rPr>
      </w:pPr>
      <w:r>
        <w:drawing>
          <wp:inline distT="0" distB="0" distL="0" distR="0">
            <wp:extent cx="3825240" cy="2091690"/>
            <wp:effectExtent l="0" t="0" r="0" b="11430"/>
            <wp:docPr id="24" name="图表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spacing w:line="360" w:lineRule="auto"/>
        <w:jc w:val="center"/>
        <w:rPr>
          <w:rFonts w:eastAsia="黑体"/>
          <w:b/>
          <w:szCs w:val="21"/>
        </w:rPr>
      </w:pPr>
      <w:r>
        <w:rPr>
          <w:rFonts w:hint="eastAsia" w:ascii="宋体" w:hAnsi="宋体" w:cs="宋体"/>
          <w:b/>
          <w:sz w:val="22"/>
          <w:szCs w:val="22"/>
        </w:rPr>
        <w:t>图14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w:t>
      </w:r>
      <w:r>
        <w:rPr>
          <w:rFonts w:ascii="宋体" w:hAnsi="宋体" w:cs="宋体"/>
          <w:b/>
          <w:sz w:val="22"/>
          <w:szCs w:val="22"/>
        </w:rPr>
        <w:t>区</w:t>
      </w:r>
      <w:r>
        <w:rPr>
          <w:rFonts w:hint="eastAsia" w:ascii="宋体" w:hAnsi="宋体" w:cs="宋体"/>
          <w:b/>
          <w:sz w:val="22"/>
          <w:szCs w:val="22"/>
        </w:rPr>
        <w:t>平均C</w:t>
      </w:r>
      <w:r>
        <w:rPr>
          <w:rFonts w:ascii="宋体" w:hAnsi="宋体" w:cs="宋体"/>
          <w:b/>
          <w:sz w:val="22"/>
          <w:szCs w:val="22"/>
        </w:rPr>
        <w:t>O</w:t>
      </w:r>
      <w:r>
        <w:rPr>
          <w:rFonts w:hint="eastAsia" w:ascii="宋体" w:hAnsi="宋体" w:cs="宋体"/>
          <w:b/>
          <w:sz w:val="22"/>
          <w:szCs w:val="22"/>
        </w:rPr>
        <w:t>指数月均变</w:t>
      </w:r>
    </w:p>
    <w:p>
      <w:pPr>
        <w:numPr>
          <w:ilvl w:val="0"/>
          <w:numId w:val="5"/>
        </w:numPr>
        <w:spacing w:line="360" w:lineRule="auto"/>
        <w:ind w:firstLine="560" w:firstLineChars="200"/>
        <w:jc w:val="left"/>
        <w:rPr>
          <w:rFonts w:ascii="Times New Roman" w:hAnsi="Times New Roman" w:eastAsia="仿宋_GB2312" w:cs="Times New Roman"/>
          <w:sz w:val="28"/>
          <w:szCs w:val="30"/>
        </w:rPr>
      </w:pPr>
      <w:r>
        <w:rPr>
          <w:rFonts w:ascii="Times New Roman" w:hAnsi="Times New Roman" w:eastAsia="仿宋_GB2312" w:cs="Times New Roman"/>
          <w:sz w:val="28"/>
          <w:szCs w:val="30"/>
        </w:rPr>
        <w:t>总悬浮颗粒物(TSP)</w:t>
      </w:r>
      <w:bookmarkEnd w:id="6"/>
    </w:p>
    <w:p>
      <w:pPr>
        <w:spacing w:line="560" w:lineRule="exact"/>
        <w:ind w:firstLine="560" w:firstLineChars="200"/>
        <w:rPr>
          <w:rFonts w:ascii="Times New Roman" w:hAnsi="Times New Roman" w:eastAsia="仿宋_GB2312"/>
          <w:sz w:val="32"/>
          <w:szCs w:val="32"/>
        </w:rPr>
      </w:pPr>
      <w:bookmarkStart w:id="7" w:name="_Toc66439210"/>
      <w:bookmarkStart w:id="8" w:name="_Toc355613570"/>
      <w:bookmarkStart w:id="9" w:name="_Toc478807967"/>
      <w:bookmarkStart w:id="10" w:name="_Toc387760907"/>
      <w:bookmarkStart w:id="11" w:name="_Toc324855393"/>
      <w:bookmarkStart w:id="12" w:name="_Toc478808271"/>
      <w:bookmarkStart w:id="13" w:name="_Toc356377172"/>
      <w:bookmarkStart w:id="14" w:name="_Toc480549178"/>
      <w:bookmarkStart w:id="15" w:name="_Toc388000046"/>
      <w:r>
        <w:rPr>
          <w:rFonts w:hint="eastAsia" w:ascii="Times New Roman" w:hAnsi="Times New Roman" w:eastAsia="仿宋_GB2312" w:cs="Times New Roman"/>
          <w:sz w:val="28"/>
          <w:szCs w:val="28"/>
          <w:lang w:val="zh-CN"/>
        </w:rPr>
        <w:t>2021年，青浦区总悬浮颗粒物年均值为94微克/立方米（图1</w:t>
      </w:r>
      <w:r>
        <w:rPr>
          <w:rFonts w:hint="eastAsia" w:ascii="Times New Roman" w:hAnsi="Times New Roman" w:eastAsia="仿宋_GB2312" w:cs="Times New Roman"/>
          <w:sz w:val="28"/>
          <w:szCs w:val="28"/>
        </w:rPr>
        <w:t>5</w:t>
      </w:r>
      <w:r>
        <w:rPr>
          <w:rFonts w:hint="eastAsia" w:ascii="Times New Roman" w:hAnsi="Times New Roman" w:eastAsia="仿宋_GB2312" w:cs="Times New Roman"/>
          <w:sz w:val="28"/>
          <w:szCs w:val="28"/>
          <w:lang w:val="zh-CN"/>
        </w:rPr>
        <w:t>）,达到《环境空气质量标准》（GB3095-2012）年均二级标准限值（200微克/立方米）。较2020年（76微克/立方米）相比，上升了18微克/立方米，增幅为23.7%。</w:t>
      </w:r>
    </w:p>
    <w:p>
      <w:pPr>
        <w:pStyle w:val="9"/>
        <w:spacing w:line="360" w:lineRule="auto"/>
        <w:ind w:firstLine="0" w:firstLineChars="0"/>
        <w:jc w:val="center"/>
        <w:rPr>
          <w:rFonts w:ascii="Times New Roman" w:hAnsi="Times New Roman"/>
        </w:rPr>
      </w:pPr>
      <w:r>
        <w:rPr>
          <w:lang w:val="en-US"/>
        </w:rPr>
        <w:drawing>
          <wp:inline distT="0" distB="0" distL="0" distR="0">
            <wp:extent cx="3771900" cy="1962150"/>
            <wp:effectExtent l="0" t="0" r="7620" b="3810"/>
            <wp:docPr id="60" name="图表 60"/>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Pr>
        <w:spacing w:after="156" w:afterLines="50"/>
        <w:jc w:val="center"/>
        <w:rPr>
          <w:rFonts w:ascii="宋体" w:hAnsi="宋体" w:cs="宋体"/>
          <w:b/>
          <w:sz w:val="22"/>
          <w:szCs w:val="22"/>
        </w:rPr>
      </w:pPr>
      <w:r>
        <w:rPr>
          <w:rFonts w:hint="eastAsia" w:ascii="宋体" w:hAnsi="宋体" w:cs="宋体"/>
          <w:b/>
          <w:sz w:val="22"/>
          <w:szCs w:val="22"/>
        </w:rPr>
        <w:t>图15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w:t>
      </w:r>
      <w:r>
        <w:rPr>
          <w:rFonts w:ascii="宋体" w:hAnsi="宋体" w:cs="宋体"/>
          <w:b/>
          <w:sz w:val="22"/>
          <w:szCs w:val="22"/>
        </w:rPr>
        <w:t>区</w:t>
      </w:r>
      <w:r>
        <w:rPr>
          <w:rFonts w:hint="eastAsia" w:ascii="宋体" w:hAnsi="宋体" w:cs="宋体"/>
          <w:b/>
          <w:sz w:val="22"/>
          <w:szCs w:val="22"/>
        </w:rPr>
        <w:t>TSP年均浓度比较</w:t>
      </w:r>
    </w:p>
    <w:p>
      <w:pPr>
        <w:pStyle w:val="9"/>
        <w:numPr>
          <w:ilvl w:val="0"/>
          <w:numId w:val="5"/>
        </w:numPr>
        <w:spacing w:line="360" w:lineRule="auto"/>
        <w:ind w:firstLine="560"/>
        <w:jc w:val="left"/>
        <w:rPr>
          <w:rFonts w:ascii="Times New Roman" w:hAnsi="Times New Roman" w:eastAsia="仿宋_GB2312" w:cs="Times New Roman"/>
          <w:sz w:val="28"/>
          <w:szCs w:val="28"/>
        </w:rPr>
      </w:pPr>
      <w:r>
        <w:rPr>
          <w:rFonts w:ascii="Times New Roman" w:hAnsi="Times New Roman" w:eastAsia="仿宋_GB2312" w:cs="Times New Roman"/>
          <w:sz w:val="28"/>
          <w:szCs w:val="28"/>
        </w:rPr>
        <w:t>降尘</w:t>
      </w:r>
      <w:bookmarkEnd w:id="7"/>
    </w:p>
    <w:p>
      <w:pPr>
        <w:spacing w:line="560" w:lineRule="exact"/>
        <w:ind w:firstLine="560" w:firstLineChars="200"/>
        <w:rPr>
          <w:rFonts w:ascii="Times New Roman" w:hAnsi="Times New Roman" w:eastAsia="仿宋_GB2312" w:cs="Times New Roman"/>
          <w:sz w:val="28"/>
          <w:szCs w:val="28"/>
          <w:lang w:val="zh-CN"/>
        </w:rPr>
      </w:pPr>
      <w:bookmarkStart w:id="16" w:name="_Toc66439211"/>
      <w:r>
        <w:rPr>
          <w:rFonts w:hint="eastAsia" w:ascii="Times New Roman" w:hAnsi="Times New Roman" w:eastAsia="仿宋_GB2312" w:cs="Times New Roman"/>
          <w:sz w:val="28"/>
          <w:szCs w:val="28"/>
          <w:lang w:val="zh-CN"/>
        </w:rPr>
        <w:t>2021年，青浦区降尘的年平均浓度为4.3吨/平方公里·月，较2020年（3.5吨/平方公里·月）相比，上升了0.8吨/平方公里·月，增幅为22.9%。</w:t>
      </w:r>
    </w:p>
    <w:p>
      <w:pPr>
        <w:spacing w:line="560" w:lineRule="exact"/>
        <w:ind w:firstLine="560" w:firstLineChars="200"/>
        <w:rPr>
          <w:rFonts w:ascii="Times New Roman" w:hAnsi="Times New Roman" w:eastAsia="仿宋_GB2312" w:cs="Times New Roman"/>
          <w:sz w:val="28"/>
          <w:szCs w:val="28"/>
          <w:lang w:val="zh-CN"/>
        </w:rPr>
      </w:pPr>
      <w:r>
        <w:rPr>
          <w:rFonts w:hint="eastAsia" w:ascii="Times New Roman" w:hAnsi="Times New Roman" w:eastAsia="仿宋_GB2312" w:cs="Times New Roman"/>
          <w:sz w:val="28"/>
          <w:szCs w:val="28"/>
          <w:lang w:val="zh-CN"/>
        </w:rPr>
        <w:t>2021年，青浦区降尘7月平均浓度最高，为8.8吨/平方公里·月，8月平均浓度最低，为1.7吨/平方公里·月（图1</w:t>
      </w:r>
      <w:r>
        <w:rPr>
          <w:rFonts w:hint="eastAsia" w:ascii="Times New Roman" w:hAnsi="Times New Roman" w:eastAsia="仿宋_GB2312" w:cs="Times New Roman"/>
          <w:sz w:val="28"/>
          <w:szCs w:val="28"/>
        </w:rPr>
        <w:t>6</w:t>
      </w:r>
      <w:r>
        <w:rPr>
          <w:rFonts w:hint="eastAsia" w:ascii="Times New Roman" w:hAnsi="Times New Roman" w:eastAsia="仿宋_GB2312" w:cs="Times New Roman"/>
          <w:sz w:val="28"/>
          <w:szCs w:val="28"/>
          <w:lang w:val="zh-CN"/>
        </w:rPr>
        <w:t>）。2020年与2021年青浦区降尘月平均浓度均在夏季出现峰值。</w:t>
      </w:r>
    </w:p>
    <w:p>
      <w:pPr>
        <w:pStyle w:val="2"/>
        <w:spacing w:line="240" w:lineRule="auto"/>
        <w:rPr>
          <w:rFonts w:ascii="宋体" w:hAnsi="宋体" w:cs="宋体"/>
          <w:sz w:val="22"/>
          <w:szCs w:val="22"/>
        </w:rPr>
      </w:pPr>
      <w:r>
        <w:drawing>
          <wp:inline distT="0" distB="0" distL="0" distR="0">
            <wp:extent cx="3962400" cy="2000250"/>
            <wp:effectExtent l="0" t="0" r="0" b="0"/>
            <wp:docPr id="102" name="图表 10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2"/>
        <w:spacing w:line="240" w:lineRule="auto"/>
        <w:rPr>
          <w:rFonts w:ascii="宋体" w:hAnsi="宋体" w:cs="宋体"/>
          <w:b w:val="0"/>
          <w:sz w:val="22"/>
          <w:szCs w:val="22"/>
        </w:rPr>
      </w:pPr>
      <w:r>
        <w:rPr>
          <w:rFonts w:hint="eastAsia" w:ascii="宋体" w:hAnsi="宋体" w:cs="宋体"/>
          <w:sz w:val="22"/>
          <w:szCs w:val="22"/>
        </w:rPr>
        <w:t>图16  2</w:t>
      </w:r>
      <w:r>
        <w:rPr>
          <w:rFonts w:ascii="宋体" w:hAnsi="宋体" w:cs="宋体"/>
          <w:sz w:val="22"/>
          <w:szCs w:val="22"/>
        </w:rPr>
        <w:t>020</w:t>
      </w:r>
      <w:r>
        <w:rPr>
          <w:rFonts w:hint="eastAsia" w:ascii="宋体" w:hAnsi="宋体" w:cs="宋体"/>
          <w:b w:val="0"/>
          <w:sz w:val="22"/>
          <w:szCs w:val="22"/>
        </w:rPr>
        <w:t>-</w:t>
      </w:r>
      <w:r>
        <w:rPr>
          <w:rFonts w:hint="eastAsia" w:ascii="宋体" w:hAnsi="宋体" w:cs="宋体"/>
          <w:sz w:val="22"/>
          <w:szCs w:val="22"/>
        </w:rPr>
        <w:t>202</w:t>
      </w:r>
      <w:r>
        <w:rPr>
          <w:rFonts w:ascii="宋体" w:hAnsi="宋体" w:cs="宋体"/>
          <w:b w:val="0"/>
          <w:sz w:val="22"/>
          <w:szCs w:val="22"/>
        </w:rPr>
        <w:t>1</w:t>
      </w:r>
      <w:r>
        <w:rPr>
          <w:rFonts w:hint="eastAsia" w:ascii="宋体" w:hAnsi="宋体" w:cs="宋体"/>
          <w:sz w:val="22"/>
          <w:szCs w:val="22"/>
        </w:rPr>
        <w:t>年青浦区降尘月均浓度变化比较</w:t>
      </w:r>
    </w:p>
    <w:p>
      <w:pPr>
        <w:pStyle w:val="9"/>
        <w:ind w:firstLineChars="0"/>
        <w:jc w:val="left"/>
        <w:rPr>
          <w:rFonts w:ascii="Times New Roman" w:hAnsi="Times New Roman" w:eastAsia="仿宋_GB2312" w:cs="Times New Roman"/>
          <w:sz w:val="28"/>
          <w:szCs w:val="28"/>
        </w:rPr>
      </w:pPr>
      <w:r>
        <w:rPr>
          <w:rFonts w:ascii="Times New Roman" w:hAnsi="Times New Roman" w:eastAsia="仿宋_GB2312" w:cs="Times New Roman"/>
          <w:bCs/>
          <w:sz w:val="28"/>
          <w:szCs w:val="28"/>
          <w:lang w:val="en-US"/>
        </w:rPr>
        <w:t>9.</w:t>
      </w:r>
      <w:r>
        <w:rPr>
          <w:rFonts w:ascii="Times New Roman" w:hAnsi="Times New Roman" w:eastAsia="仿宋_GB2312" w:cs="Times New Roman"/>
          <w:sz w:val="28"/>
          <w:szCs w:val="28"/>
        </w:rPr>
        <w:t>降水</w:t>
      </w:r>
      <w:bookmarkEnd w:id="8"/>
      <w:bookmarkEnd w:id="9"/>
      <w:bookmarkEnd w:id="10"/>
      <w:bookmarkEnd w:id="11"/>
      <w:bookmarkEnd w:id="12"/>
      <w:bookmarkEnd w:id="13"/>
      <w:bookmarkEnd w:id="14"/>
      <w:bookmarkEnd w:id="15"/>
      <w:bookmarkEnd w:id="16"/>
    </w:p>
    <w:p>
      <w:pPr>
        <w:ind w:firstLine="560"/>
        <w:rPr>
          <w:rFonts w:ascii="Times New Roman" w:hAnsi="Times New Roman" w:eastAsia="仿宋_GB2312" w:cs="Times New Roman"/>
          <w:sz w:val="28"/>
          <w:szCs w:val="32"/>
        </w:rPr>
      </w:pPr>
      <w:r>
        <w:rPr>
          <w:rFonts w:hint="eastAsia" w:ascii="Times New Roman" w:hAnsi="Times New Roman" w:eastAsia="仿宋_GB2312" w:cs="Times New Roman"/>
          <w:sz w:val="28"/>
          <w:szCs w:val="32"/>
        </w:rPr>
        <w:t>2021年，青浦区降水样品的pH值范围为4.59~6.51，酸雨（pH&lt;5.60）出现的频率为37.4%，较2020年（43.7%）下降了6.3个百分点（图17）。</w:t>
      </w:r>
    </w:p>
    <w:p>
      <w:pPr>
        <w:spacing w:line="360" w:lineRule="auto"/>
        <w:jc w:val="center"/>
        <w:rPr>
          <w:rFonts w:ascii="Times New Roman" w:hAnsi="Times New Roman"/>
        </w:rPr>
      </w:pPr>
      <w:r>
        <w:drawing>
          <wp:inline distT="0" distB="0" distL="114300" distR="114300">
            <wp:extent cx="4095750" cy="2009775"/>
            <wp:effectExtent l="0" t="0" r="3810" b="1905"/>
            <wp:docPr id="47"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spacing w:after="156" w:afterLines="50"/>
        <w:jc w:val="center"/>
        <w:rPr>
          <w:rFonts w:ascii="宋体" w:hAnsi="宋体" w:cs="宋体"/>
          <w:b/>
          <w:sz w:val="22"/>
          <w:szCs w:val="22"/>
        </w:rPr>
      </w:pPr>
      <w:r>
        <w:rPr>
          <w:rFonts w:hint="eastAsia" w:ascii="宋体" w:hAnsi="宋体" w:cs="宋体"/>
          <w:b/>
          <w:sz w:val="22"/>
          <w:szCs w:val="22"/>
        </w:rPr>
        <w:t>图17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年青浦区年均酸雨频率比较</w:t>
      </w:r>
    </w:p>
    <w:p>
      <w:pPr>
        <w:ind w:firstLine="560"/>
        <w:rPr>
          <w:rFonts w:ascii="Times New Roman" w:hAnsi="Times New Roman" w:eastAsia="仿宋_GB2312" w:cs="Times New Roman"/>
          <w:sz w:val="28"/>
          <w:szCs w:val="32"/>
        </w:rPr>
      </w:pPr>
      <w:r>
        <w:rPr>
          <w:rFonts w:hint="eastAsia" w:ascii="Times New Roman" w:hAnsi="Times New Roman" w:eastAsia="仿宋_GB2312" w:cs="Times New Roman"/>
          <w:sz w:val="28"/>
          <w:szCs w:val="32"/>
        </w:rPr>
        <w:t>2021年本区各月降水的酸雨频率波动较大，8月最高，为88.0%；1、2和12月未出现酸雨情况（图18）。</w:t>
      </w:r>
    </w:p>
    <w:p>
      <w:pPr>
        <w:snapToGrid w:val="0"/>
        <w:spacing w:line="360" w:lineRule="auto"/>
        <w:jc w:val="center"/>
        <w:rPr>
          <w:rFonts w:ascii="Times New Roman" w:hAnsi="Times New Roman"/>
          <w:sz w:val="28"/>
          <w:szCs w:val="28"/>
        </w:rPr>
      </w:pPr>
      <w:r>
        <w:drawing>
          <wp:inline distT="0" distB="0" distL="114300" distR="114300">
            <wp:extent cx="4006850" cy="2098675"/>
            <wp:effectExtent l="0" t="0" r="1270" b="4445"/>
            <wp:docPr id="48"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jc w:val="center"/>
      </w:pPr>
      <w:r>
        <w:rPr>
          <w:rFonts w:hint="eastAsia" w:ascii="宋体" w:hAnsi="宋体" w:cs="宋体"/>
          <w:b/>
          <w:sz w:val="22"/>
          <w:szCs w:val="22"/>
        </w:rPr>
        <w:t>图18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年度青浦区各月份酸雨频率比较</w:t>
      </w:r>
    </w:p>
    <w:p>
      <w:pPr>
        <w:numPr>
          <w:ilvl w:val="0"/>
          <w:numId w:val="3"/>
        </w:numPr>
        <w:spacing w:before="312" w:beforeLines="100" w:after="312" w:afterLines="100"/>
        <w:rPr>
          <w:rFonts w:eastAsia="黑体"/>
          <w:sz w:val="28"/>
          <w:szCs w:val="32"/>
        </w:rPr>
      </w:pPr>
      <w:r>
        <w:rPr>
          <w:rFonts w:hint="eastAsia" w:ascii="黑体" w:hAnsi="黑体" w:eastAsia="黑体" w:cs="黑体"/>
          <w:sz w:val="28"/>
          <w:szCs w:val="28"/>
        </w:rPr>
        <w:t>地表水环境质量</w:t>
      </w:r>
      <w:bookmarkStart w:id="17" w:name="_Toc66439199"/>
    </w:p>
    <w:p>
      <w:pPr>
        <w:ind w:firstLine="560"/>
        <w:rPr>
          <w:rFonts w:ascii="Times New Roman" w:hAnsi="Times New Roman" w:eastAsia="仿宋_GB2312" w:cs="Times New Roman"/>
          <w:sz w:val="28"/>
          <w:szCs w:val="28"/>
        </w:rPr>
      </w:pPr>
      <w:r>
        <w:rPr>
          <w:rFonts w:hint="eastAsia" w:ascii="Times New Roman" w:hAnsi="Times New Roman" w:eastAsia="仿宋_GB2312" w:cs="Times New Roman"/>
          <w:sz w:val="28"/>
          <w:szCs w:val="32"/>
        </w:rPr>
        <w:t>2021年，青浦区地表水环境质量持续改善。其中，饮用水源地水质评价为“优”，达到II类水质标准要求；应急饮用水源地水质评价为“优”，达到III类水质标准要求；淀山湖综合营养状态指数为59.6，为轻度富营养化水平；5个国控、15个市控断面除淀山湖-淀山湖中断面为Ⅴ类（按湖库标准）外，其余4个国控和15个市考断面全部达到IV类或优于IV类，水质优良率达到70%，较2020年上升1.6个百分点。</w:t>
      </w:r>
    </w:p>
    <w:p>
      <w:pPr>
        <w:numPr>
          <w:ilvl w:val="0"/>
          <w:numId w:val="6"/>
        </w:numPr>
        <w:ind w:firstLine="560" w:firstLineChars="200"/>
        <w:rPr>
          <w:rFonts w:ascii="Times New Roman" w:hAnsi="Times New Roman" w:eastAsia="仿宋_GB2312" w:cs="Times New Roman"/>
          <w:sz w:val="28"/>
          <w:szCs w:val="32"/>
        </w:rPr>
      </w:pPr>
      <w:r>
        <w:rPr>
          <w:rFonts w:ascii="Times New Roman" w:hAnsi="Times New Roman" w:eastAsia="仿宋_GB2312" w:cs="Times New Roman"/>
          <w:sz w:val="28"/>
          <w:szCs w:val="32"/>
        </w:rPr>
        <w:t>淀山湖</w:t>
      </w:r>
      <w:bookmarkEnd w:id="17"/>
    </w:p>
    <w:p>
      <w:pPr>
        <w:ind w:firstLine="560"/>
        <w:rPr>
          <w:rFonts w:ascii="Times New Roman" w:hAnsi="Times New Roman" w:eastAsia="仿宋_GB2312" w:cs="Times New Roman"/>
          <w:sz w:val="28"/>
          <w:szCs w:val="32"/>
        </w:rPr>
      </w:pPr>
      <w:bookmarkStart w:id="18" w:name="_Toc66439200"/>
      <w:r>
        <w:rPr>
          <w:rFonts w:hint="eastAsia" w:ascii="Times New Roman" w:hAnsi="Times New Roman" w:eastAsia="仿宋_GB2312" w:cs="Times New Roman"/>
          <w:sz w:val="28"/>
          <w:szCs w:val="32"/>
        </w:rPr>
        <w:t>2021年淀山湖全湖综合营养状态指数（TLI）为59.6，处于轻度富营养状态，与2020年（58.9）评价类别相同（图19）。</w:t>
      </w:r>
    </w:p>
    <w:p>
      <w:pPr>
        <w:jc w:val="center"/>
        <w:rPr>
          <w:rFonts w:ascii="Times New Roman" w:hAnsi="Times New Roman"/>
          <w:sz w:val="32"/>
          <w:szCs w:val="32"/>
        </w:rPr>
      </w:pPr>
      <w:r>
        <w:drawing>
          <wp:inline distT="0" distB="0" distL="114300" distR="114300">
            <wp:extent cx="4572000" cy="2743200"/>
            <wp:effectExtent l="0" t="0" r="0" b="0"/>
            <wp:docPr id="36"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pPr>
        <w:spacing w:after="156" w:afterLines="50"/>
        <w:jc w:val="center"/>
        <w:rPr>
          <w:rFonts w:ascii="宋体" w:hAnsi="宋体" w:cs="宋体"/>
          <w:b/>
          <w:sz w:val="22"/>
          <w:szCs w:val="22"/>
        </w:rPr>
      </w:pPr>
      <w:r>
        <w:rPr>
          <w:rFonts w:hint="eastAsia" w:ascii="宋体" w:hAnsi="宋体" w:cs="宋体"/>
          <w:b/>
          <w:sz w:val="22"/>
          <w:szCs w:val="22"/>
        </w:rPr>
        <w:t>图19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年淀山湖综合营养状态指数比较图</w:t>
      </w:r>
    </w:p>
    <w:p>
      <w:pPr>
        <w:numPr>
          <w:ilvl w:val="0"/>
          <w:numId w:val="6"/>
        </w:numPr>
        <w:spacing w:before="312" w:beforeLines="100"/>
        <w:ind w:firstLine="560" w:firstLineChars="200"/>
        <w:rPr>
          <w:rFonts w:ascii="Times New Roman" w:hAnsi="Times New Roman" w:eastAsia="仿宋_GB2312" w:cs="Times New Roman"/>
          <w:sz w:val="28"/>
          <w:szCs w:val="32"/>
        </w:rPr>
      </w:pPr>
      <w:r>
        <w:rPr>
          <w:rFonts w:hint="eastAsia" w:ascii="Times New Roman" w:hAnsi="Times New Roman" w:eastAsia="仿宋_GB2312" w:cs="Times New Roman"/>
          <w:sz w:val="28"/>
          <w:szCs w:val="32"/>
        </w:rPr>
        <w:t>集中式饮用</w:t>
      </w:r>
      <w:r>
        <w:rPr>
          <w:rFonts w:ascii="Times New Roman" w:hAnsi="Times New Roman" w:eastAsia="仿宋_GB2312" w:cs="Times New Roman"/>
          <w:sz w:val="28"/>
          <w:szCs w:val="32"/>
        </w:rPr>
        <w:t>水源地</w:t>
      </w:r>
      <w:bookmarkEnd w:id="18"/>
    </w:p>
    <w:p>
      <w:pPr>
        <w:ind w:firstLine="560"/>
        <w:rPr>
          <w:rFonts w:ascii="Times New Roman" w:hAnsi="Times New Roman" w:eastAsia="仿宋_GB2312" w:cs="Times New Roman"/>
          <w:sz w:val="28"/>
          <w:szCs w:val="32"/>
        </w:rPr>
      </w:pPr>
      <w:bookmarkStart w:id="19" w:name="_Toc66439201"/>
      <w:r>
        <w:rPr>
          <w:rFonts w:hint="eastAsia" w:ascii="Times New Roman" w:hAnsi="Times New Roman" w:eastAsia="仿宋_GB2312" w:cs="Times New Roman"/>
          <w:sz w:val="28"/>
          <w:szCs w:val="32"/>
        </w:rPr>
        <w:t>青浦区集中式饮用水源地为金泽水库，2021年金泽水库水质各项指标均已达到II类，水质综合指数为0.36（优）（图20），与2020年持平。青浦区应急饮用水源地监测点位为太浦河取水口，2021年太浦河取水口水质各项监测指标均达到III类标准，水质综合污染指数为0.50（优），较2020年（0.51，优）无明显变化。</w:t>
      </w:r>
    </w:p>
    <w:p>
      <w:pPr>
        <w:jc w:val="center"/>
        <w:rPr>
          <w:rFonts w:ascii="Times New Roman" w:hAnsi="Times New Roman"/>
          <w:sz w:val="32"/>
          <w:szCs w:val="32"/>
        </w:rPr>
      </w:pPr>
      <w:r>
        <mc:AlternateContent>
          <mc:Choice Requires="wps">
            <w:drawing>
              <wp:anchor distT="0" distB="0" distL="114300" distR="114300" simplePos="0" relativeHeight="251661312" behindDoc="0" locked="0" layoutInCell="1" allowOverlap="1">
                <wp:simplePos x="0" y="0"/>
                <wp:positionH relativeFrom="column">
                  <wp:posOffset>3975100</wp:posOffset>
                </wp:positionH>
                <wp:positionV relativeFrom="paragraph">
                  <wp:posOffset>415925</wp:posOffset>
                </wp:positionV>
                <wp:extent cx="285750" cy="285115"/>
                <wp:effectExtent l="0" t="0" r="0" b="0"/>
                <wp:wrapNone/>
                <wp:docPr id="37" name="文本框 37"/>
                <wp:cNvGraphicFramePr/>
                <a:graphic xmlns:a="http://schemas.openxmlformats.org/drawingml/2006/main">
                  <a:graphicData uri="http://schemas.microsoft.com/office/word/2010/wordprocessingShape">
                    <wps:wsp>
                      <wps:cNvSpPr txBox="true"/>
                      <wps:spPr>
                        <a:xfrm>
                          <a:off x="0" y="0"/>
                          <a:ext cx="285750" cy="285115"/>
                        </a:xfrm>
                        <a:prstGeom prst="rect">
                          <a:avLst/>
                        </a:prstGeom>
                        <a:noFill/>
                        <a:ln w="6350">
                          <a:noFill/>
                        </a:ln>
                      </wps:spPr>
                      <wps:txbx>
                        <w:txbxContent>
                          <w:p>
                            <w:pPr>
                              <w:rPr>
                                <w:rFonts w:ascii="仿宋_GB2312" w:hAnsi="仿宋_GB2312" w:eastAsia="仿宋_GB2312" w:cs="仿宋_GB2312"/>
                                <w:b/>
                                <w:bCs/>
                              </w:rPr>
                            </w:pPr>
                            <w:r>
                              <w:rPr>
                                <w:rFonts w:hint="eastAsia" w:ascii="仿宋_GB2312" w:hAnsi="仿宋_GB2312" w:eastAsia="仿宋_GB2312" w:cs="仿宋_GB2312"/>
                                <w:b/>
                                <w:bCs/>
                              </w:rPr>
                              <w:t>优</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13pt;margin-top:32.75pt;height:22.45pt;width:22.5pt;z-index:251661312;mso-width-relative:page;mso-height-relative:page;" filled="f" stroked="f" coordsize="21600,21600" o:gfxdata="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BYA&#10;AABkcnMvUEsBAhQAFAAAAAgAh07iQMfgvZLaAAAACgEAAA8AAAAAAAAAAQAgAAAAOAAAAGRycy9k&#10;b3ducmV2LnhtbFBLAQIUABQAAAAIAIdO4kAK1RF5IwIAACsEAAAOAAAAAAAAAAEAIAAAAD8BAABk&#10;cnMvZTJvRG9jLnhtbFBLBQYAAAAABgAGAFkBAADUBQAAAAA=&#10;">
                <v:fill on="f" focussize="0,0"/>
                <v:stroke on="f" weight="0.5pt"/>
                <v:imagedata o:title=""/>
                <o:lock v:ext="edit" aspectratio="f"/>
                <v:textbox>
                  <w:txbxContent>
                    <w:p>
                      <w:pPr>
                        <w:rPr>
                          <w:rFonts w:ascii="仿宋_GB2312" w:hAnsi="仿宋_GB2312" w:eastAsia="仿宋_GB2312" w:cs="仿宋_GB2312"/>
                          <w:b/>
                          <w:bCs/>
                        </w:rPr>
                      </w:pPr>
                      <w:r>
                        <w:rPr>
                          <w:rFonts w:hint="eastAsia" w:ascii="仿宋_GB2312" w:hAnsi="仿宋_GB2312" w:eastAsia="仿宋_GB2312" w:cs="仿宋_GB2312"/>
                          <w:b/>
                          <w:bCs/>
                        </w:rPr>
                        <w:t>优</w:t>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3912870</wp:posOffset>
                </wp:positionH>
                <wp:positionV relativeFrom="paragraph">
                  <wp:posOffset>161290</wp:posOffset>
                </wp:positionV>
                <wp:extent cx="494665" cy="285115"/>
                <wp:effectExtent l="0" t="0" r="0" b="0"/>
                <wp:wrapNone/>
                <wp:docPr id="38" name="文本框 38"/>
                <wp:cNvGraphicFramePr/>
                <a:graphic xmlns:a="http://schemas.openxmlformats.org/drawingml/2006/main">
                  <a:graphicData uri="http://schemas.microsoft.com/office/word/2010/wordprocessingShape">
                    <wps:wsp>
                      <wps:cNvSpPr txBox="true"/>
                      <wps:spPr>
                        <a:xfrm>
                          <a:off x="0" y="0"/>
                          <a:ext cx="494665" cy="285115"/>
                        </a:xfrm>
                        <a:prstGeom prst="rect">
                          <a:avLst/>
                        </a:prstGeom>
                        <a:noFill/>
                        <a:ln w="6350">
                          <a:noFill/>
                        </a:ln>
                      </wps:spPr>
                      <wps:txbx>
                        <w:txbxContent>
                          <w:p>
                            <w:pPr>
                              <w:rPr>
                                <w:rFonts w:ascii="仿宋_GB2312" w:hAnsi="仿宋_GB2312" w:eastAsia="仿宋_GB2312" w:cs="仿宋_GB2312"/>
                                <w:b/>
                                <w:bCs/>
                              </w:rPr>
                            </w:pPr>
                            <w:r>
                              <w:rPr>
                                <w:rFonts w:hint="eastAsia" w:ascii="仿宋_GB2312" w:hAnsi="仿宋_GB2312" w:eastAsia="仿宋_GB2312" w:cs="仿宋_GB2312"/>
                                <w:b/>
                                <w:bCs/>
                              </w:rPr>
                              <w:t>良好</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308.1pt;margin-top:12.7pt;height:22.45pt;width:38.95pt;z-index:251662336;mso-width-relative:page;mso-height-relative:page;" filled="f" stroked="f" coordsize="21600,21600" o:gfxdata="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INObw2wAAAAkBAAAPAAAAAAAAAAEAIAAAADgAAABk&#10;cnMvZG93bnJldi54bWxQSwECFAAUAAAACACHTuJA2CjS2iYCAAArBAAADgAAAAAAAAABACAAAABA&#10;AQAAZHJzL2Uyb0RvYy54bWxQSwUGAAAAAAYABgBZAQAA2AUAAAAA&#10;">
                <v:fill on="f" focussize="0,0"/>
                <v:stroke on="f" weight="0.5pt"/>
                <v:imagedata o:title=""/>
                <o:lock v:ext="edit" aspectratio="f"/>
                <v:textbox>
                  <w:txbxContent>
                    <w:p>
                      <w:pPr>
                        <w:rPr>
                          <w:rFonts w:ascii="仿宋_GB2312" w:hAnsi="仿宋_GB2312" w:eastAsia="仿宋_GB2312" w:cs="仿宋_GB2312"/>
                          <w:b/>
                          <w:bCs/>
                        </w:rPr>
                      </w:pPr>
                      <w:r>
                        <w:rPr>
                          <w:rFonts w:hint="eastAsia" w:ascii="仿宋_GB2312" w:hAnsi="仿宋_GB2312" w:eastAsia="仿宋_GB2312" w:cs="仿宋_GB2312"/>
                          <w:b/>
                          <w:bCs/>
                        </w:rPr>
                        <w:t>良好</w:t>
                      </w:r>
                    </w:p>
                  </w:txbxContent>
                </v:textbox>
              </v:shape>
            </w:pict>
          </mc:Fallback>
        </mc:AlternateContent>
      </w:r>
      <w:r>
        <w:drawing>
          <wp:inline distT="0" distB="0" distL="114300" distR="114300">
            <wp:extent cx="4134485" cy="2059305"/>
            <wp:effectExtent l="0" t="0" r="10795" b="13335"/>
            <wp:docPr id="5"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pPr>
        <w:spacing w:after="156" w:afterLines="50"/>
        <w:jc w:val="center"/>
        <w:rPr>
          <w:rFonts w:ascii="宋体" w:hAnsi="宋体" w:cs="宋体"/>
          <w:b/>
          <w:sz w:val="22"/>
          <w:szCs w:val="22"/>
        </w:rPr>
      </w:pPr>
      <w:r>
        <w:rPr>
          <w:rFonts w:hint="eastAsia" w:ascii="宋体" w:hAnsi="宋体" w:cs="宋体"/>
          <w:b/>
          <w:sz w:val="22"/>
          <w:szCs w:val="22"/>
        </w:rPr>
        <w:t>图20  201</w:t>
      </w:r>
      <w:r>
        <w:rPr>
          <w:rFonts w:ascii="宋体" w:hAnsi="宋体" w:cs="宋体"/>
          <w:b/>
          <w:sz w:val="22"/>
          <w:szCs w:val="22"/>
        </w:rPr>
        <w:t>7</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年饮用水源地水质综合污染指数比较图</w:t>
      </w:r>
    </w:p>
    <w:p>
      <w:pPr>
        <w:numPr>
          <w:ilvl w:val="0"/>
          <w:numId w:val="6"/>
        </w:numPr>
        <w:spacing w:before="312" w:beforeLines="100" w:line="360" w:lineRule="auto"/>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国、</w:t>
      </w:r>
      <w:r>
        <w:rPr>
          <w:rFonts w:ascii="Times New Roman" w:hAnsi="Times New Roman" w:eastAsia="仿宋_GB2312" w:cs="Times New Roman"/>
          <w:sz w:val="28"/>
          <w:szCs w:val="28"/>
        </w:rPr>
        <w:t>市考断面</w:t>
      </w:r>
      <w:bookmarkEnd w:id="19"/>
    </w:p>
    <w:p>
      <w:pPr>
        <w:ind w:firstLine="560"/>
        <w:rPr>
          <w:rFonts w:ascii="Times New Roman" w:hAnsi="Times New Roman" w:eastAsia="仿宋_GB2312" w:cs="Times New Roman"/>
          <w:sz w:val="28"/>
          <w:szCs w:val="32"/>
        </w:rPr>
      </w:pPr>
      <w:r>
        <w:rPr>
          <w:rFonts w:hint="eastAsia" w:ascii="Times New Roman" w:hAnsi="Times New Roman" w:eastAsia="仿宋_GB2312" w:cs="Times New Roman"/>
          <w:sz w:val="28"/>
          <w:szCs w:val="32"/>
        </w:rPr>
        <w:t>2021年，青浦区国控断面由“十三五”2个调整为5个断面（其中淀山湖-淀山湖中断面为新增国控断面，东大盈港-人民桥和华田泾-沈砖公路桥断面由市控断面提升为国控断面），市控断面由17个调整为15个断面。</w:t>
      </w:r>
    </w:p>
    <w:p>
      <w:pPr>
        <w:ind w:firstLine="560"/>
        <w:rPr>
          <w:rFonts w:ascii="Times New Roman" w:hAnsi="Times New Roman" w:eastAsia="仿宋_GB2312" w:cs="Times New Roman"/>
          <w:sz w:val="28"/>
          <w:szCs w:val="32"/>
        </w:rPr>
      </w:pPr>
      <w:r>
        <w:rPr>
          <w:rFonts w:hint="eastAsia" w:ascii="Times New Roman" w:hAnsi="Times New Roman" w:eastAsia="仿宋_GB2312" w:cs="Times New Roman"/>
          <w:sz w:val="28"/>
          <w:szCs w:val="32"/>
        </w:rPr>
        <w:t>2021年，青浦区除淀山湖-淀山湖中断面为Ⅴ类（按湖库标准）外，其他4个国控和15个市考断面全部达到IV类或优于IV类（图21）。</w:t>
      </w:r>
    </w:p>
    <w:p>
      <w:pPr>
        <w:ind w:firstLine="560"/>
        <w:rPr>
          <w:rFonts w:ascii="Times New Roman" w:hAnsi="Times New Roman" w:eastAsia="仿宋_GB2312" w:cs="Times New Roman"/>
          <w:sz w:val="28"/>
          <w:szCs w:val="32"/>
        </w:rPr>
      </w:pPr>
      <w:r>
        <w:rPr>
          <w:rFonts w:hint="eastAsia" w:ascii="Times New Roman" w:hAnsi="Times New Roman" w:eastAsia="仿宋_GB2312" w:cs="Times New Roman"/>
          <w:sz w:val="28"/>
          <w:szCs w:val="32"/>
        </w:rPr>
        <w:t>2021年，全区国、市控断面水质持续改善，水质优良率达到70%，较2020年上升1.6个百分点。</w:t>
      </w:r>
    </w:p>
    <w:p>
      <w:r>
        <mc:AlternateContent>
          <mc:Choice Requires="wps">
            <w:drawing>
              <wp:anchor distT="0" distB="0" distL="114300" distR="114300" simplePos="0" relativeHeight="251664384" behindDoc="0" locked="0" layoutInCell="1" allowOverlap="1">
                <wp:simplePos x="0" y="0"/>
                <wp:positionH relativeFrom="column">
                  <wp:posOffset>297180</wp:posOffset>
                </wp:positionH>
                <wp:positionV relativeFrom="paragraph">
                  <wp:posOffset>1106805</wp:posOffset>
                </wp:positionV>
                <wp:extent cx="294005" cy="271780"/>
                <wp:effectExtent l="0" t="0" r="0" b="0"/>
                <wp:wrapNone/>
                <wp:docPr id="25" name="Text Box 1035"/>
                <wp:cNvGraphicFramePr/>
                <a:graphic xmlns:a="http://schemas.openxmlformats.org/drawingml/2006/main">
                  <a:graphicData uri="http://schemas.microsoft.com/office/word/2010/wordprocessingShape">
                    <wps:wsp>
                      <wps:cNvSpPr txBox="true">
                        <a:spLocks noChangeArrowheads="true"/>
                      </wps:cNvSpPr>
                      <wps:spPr bwMode="auto">
                        <a:xfrm>
                          <a:off x="0" y="0"/>
                          <a:ext cx="294005" cy="271780"/>
                        </a:xfrm>
                        <a:prstGeom prst="rect">
                          <a:avLst/>
                        </a:prstGeom>
                        <a:noFill/>
                        <a:ln>
                          <a:noFill/>
                        </a:ln>
                      </wps:spPr>
                      <wps:txbx>
                        <w:txbxContent>
                          <w:p>
                            <w:pPr>
                              <w:rPr>
                                <w:rFonts w:ascii="Times New Roman" w:hAnsi="Times New Roman"/>
                                <w:sz w:val="15"/>
                                <w:szCs w:val="15"/>
                              </w:rPr>
                            </w:pPr>
                            <w:r>
                              <w:rPr>
                                <w:rFonts w:ascii="Times New Roman" w:hAnsi="Times New Roman"/>
                                <w:sz w:val="15"/>
                                <w:szCs w:val="15"/>
                              </w:rPr>
                              <w:t>Ⅰ</w:t>
                            </w:r>
                          </w:p>
                        </w:txbxContent>
                      </wps:txbx>
                      <wps:bodyPr rot="0" vert="horz" wrap="square" lIns="91440" tIns="45720" rIns="91440" bIns="45720" anchor="t" anchorCtr="false" upright="true">
                        <a:noAutofit/>
                      </wps:bodyPr>
                    </wps:wsp>
                  </a:graphicData>
                </a:graphic>
              </wp:anchor>
            </w:drawing>
          </mc:Choice>
          <mc:Fallback>
            <w:pict>
              <v:shape id="Text Box 1035" o:spid="_x0000_s1026" o:spt="202" type="#_x0000_t202" style="position:absolute;left:0pt;margin-left:23.4pt;margin-top:87.15pt;height:21.4pt;width:23.15pt;z-index:251664384;mso-width-relative:page;mso-height-relative:page;" filled="f" stroked="f" coordsize="21600,21600" o:gfxdata="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FgAAAGRycy9QSwECFAAUAAAACACHTuJA8rh9l9cAAAAJAQAADwAAAAAAAAABACAAAAA4&#10;AAAAZHJzL2Rvd25yZXYueG1sUEsBAhQAFAAAAAgAh07iQBGngIr1AQAA1gMAAA4AAAAAAAAAAQAg&#10;AAAAPAEAAGRycy9lMm9Eb2MueG1sUEsFBgAAAAAGAAYAWQEAAKMFAAAAAA==&#10;">
                <v:fill on="f" focussize="0,0"/>
                <v:stroke on="f"/>
                <v:imagedata o:title=""/>
                <o:lock v:ext="edit" aspectratio="f"/>
                <v:textbox>
                  <w:txbxContent>
                    <w:p>
                      <w:pPr>
                        <w:rPr>
                          <w:rFonts w:ascii="Times New Roman" w:hAnsi="Times New Roman"/>
                          <w:sz w:val="15"/>
                          <w:szCs w:val="15"/>
                        </w:rPr>
                      </w:pPr>
                      <w:r>
                        <w:rPr>
                          <w:rFonts w:ascii="Times New Roman" w:hAnsi="Times New Roman"/>
                          <w:sz w:val="15"/>
                          <w:szCs w:val="15"/>
                        </w:rPr>
                        <w:t>Ⅰ</w:t>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276860</wp:posOffset>
                </wp:positionH>
                <wp:positionV relativeFrom="paragraph">
                  <wp:posOffset>909320</wp:posOffset>
                </wp:positionV>
                <wp:extent cx="285750" cy="238125"/>
                <wp:effectExtent l="0" t="0" r="0" b="0"/>
                <wp:wrapNone/>
                <wp:docPr id="26" name="Text Box 1036"/>
                <wp:cNvGraphicFramePr/>
                <a:graphic xmlns:a="http://schemas.openxmlformats.org/drawingml/2006/main">
                  <a:graphicData uri="http://schemas.microsoft.com/office/word/2010/wordprocessingShape">
                    <wps:wsp>
                      <wps:cNvSpPr txBox="true">
                        <a:spLocks noChangeArrowheads="true"/>
                      </wps:cNvSpPr>
                      <wps:spPr bwMode="auto">
                        <a:xfrm>
                          <a:off x="0" y="0"/>
                          <a:ext cx="285750" cy="238125"/>
                        </a:xfrm>
                        <a:prstGeom prst="rect">
                          <a:avLst/>
                        </a:prstGeom>
                        <a:noFill/>
                        <a:ln>
                          <a:noFill/>
                        </a:ln>
                      </wps:spPr>
                      <wps:txbx>
                        <w:txbxContent>
                          <w:p>
                            <w:pPr>
                              <w:rPr>
                                <w:rFonts w:ascii="Times New Roman" w:hAnsi="Times New Roman"/>
                                <w:sz w:val="15"/>
                                <w:szCs w:val="15"/>
                              </w:rPr>
                            </w:pPr>
                            <w:r>
                              <w:rPr>
                                <w:rFonts w:ascii="Times New Roman" w:hAnsi="Times New Roman"/>
                                <w:sz w:val="15"/>
                                <w:szCs w:val="15"/>
                              </w:rPr>
                              <w:t>Ⅱ</w:t>
                            </w:r>
                          </w:p>
                        </w:txbxContent>
                      </wps:txbx>
                      <wps:bodyPr rot="0" vert="horz" wrap="square" lIns="91440" tIns="45720" rIns="91440" bIns="45720" anchor="t" anchorCtr="false" upright="true">
                        <a:noAutofit/>
                      </wps:bodyPr>
                    </wps:wsp>
                  </a:graphicData>
                </a:graphic>
              </wp:anchor>
            </w:drawing>
          </mc:Choice>
          <mc:Fallback>
            <w:pict>
              <v:shape id="Text Box 1036" o:spid="_x0000_s1026" o:spt="202" type="#_x0000_t202" style="position:absolute;left:0pt;margin-left:21.8pt;margin-top:71.6pt;height:18.75pt;width:22.5pt;z-index:251665408;mso-width-relative:page;mso-height-relative:page;" filled="f" stroked="f" coordsize="21600,21600" o:gfxdata="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BYAAABkcnMvUEsBAhQAFAAAAAgAh07iQHFuTI/VAAAACQEAAA8AAAAAAAAAAQAgAAAAOAAA&#10;AGRycy9kb3ducmV2LnhtbFBLAQIUABQAAAAIAIdO4kBK3f+J9QEAANYDAAAOAAAAAAAAAAEAIAAA&#10;ADoBAABkcnMvZTJvRG9jLnhtbFBLBQYAAAAABgAGAFkBAAChBQAAAAA=&#10;">
                <v:fill on="f" focussize="0,0"/>
                <v:stroke on="f"/>
                <v:imagedata o:title=""/>
                <o:lock v:ext="edit" aspectratio="f"/>
                <v:textbox>
                  <w:txbxContent>
                    <w:p>
                      <w:pPr>
                        <w:rPr>
                          <w:rFonts w:ascii="Times New Roman" w:hAnsi="Times New Roman"/>
                          <w:sz w:val="15"/>
                          <w:szCs w:val="15"/>
                        </w:rPr>
                      </w:pPr>
                      <w:r>
                        <w:rPr>
                          <w:rFonts w:ascii="Times New Roman" w:hAnsi="Times New Roman"/>
                          <w:sz w:val="15"/>
                          <w:szCs w:val="15"/>
                        </w:rPr>
                        <w:t>Ⅱ</w:t>
                      </w:r>
                    </w:p>
                  </w:txbxContent>
                </v:textbox>
              </v:shap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240030</wp:posOffset>
                </wp:positionH>
                <wp:positionV relativeFrom="paragraph">
                  <wp:posOffset>685165</wp:posOffset>
                </wp:positionV>
                <wp:extent cx="341630" cy="200660"/>
                <wp:effectExtent l="0" t="0" r="0" b="0"/>
                <wp:wrapNone/>
                <wp:docPr id="27" name="文本框 27"/>
                <wp:cNvGraphicFramePr/>
                <a:graphic xmlns:a="http://schemas.openxmlformats.org/drawingml/2006/main">
                  <a:graphicData uri="http://schemas.microsoft.com/office/word/2010/wordprocessingShape">
                    <wps:wsp>
                      <wps:cNvSpPr txBox="true">
                        <a:spLocks noChangeArrowheads="true"/>
                      </wps:cNvSpPr>
                      <wps:spPr bwMode="auto">
                        <a:xfrm>
                          <a:off x="0" y="0"/>
                          <a:ext cx="341630" cy="200660"/>
                        </a:xfrm>
                        <a:prstGeom prst="rect">
                          <a:avLst/>
                        </a:prstGeom>
                        <a:noFill/>
                        <a:ln w="9525">
                          <a:noFill/>
                          <a:miter lim="800000"/>
                        </a:ln>
                      </wps:spPr>
                      <wps:txbx>
                        <w:txbxContent>
                          <w:p>
                            <w:pPr>
                              <w:rPr>
                                <w:rFonts w:ascii="Times New Roman" w:hAnsi="Times New Roman"/>
                                <w:sz w:val="15"/>
                                <w:szCs w:val="15"/>
                              </w:rPr>
                            </w:pPr>
                            <w:r>
                              <w:rPr>
                                <w:rFonts w:ascii="Times New Roman" w:hAnsi="Times New Roman"/>
                                <w:sz w:val="15"/>
                                <w:szCs w:val="15"/>
                              </w:rPr>
                              <w:t>Ⅲ</w:t>
                            </w:r>
                          </w:p>
                        </w:txbxContent>
                      </wps:txbx>
                      <wps:bodyPr rot="0" vert="horz" wrap="square" lIns="91440" tIns="45720" rIns="91440" bIns="45720" anchor="t" anchorCtr="false">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18.9pt;margin-top:53.95pt;height:15.8pt;width:26.9pt;z-index:251666432;mso-width-relative:page;mso-height-relative:margin;mso-height-percent:200;" filled="f" stroked="f" coordsize="21600,21600" o:gfxdata="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cqy&#10;q9YAAAAJAQAADwAAAAAAAAABACAAAAA4AAAAZHJzL2Rvd25yZXYueG1sUEsBAhQAFAAAAAgAh07i&#10;QIG7CNcOAgAA5gMAAA4AAAAAAAAAAQAgAAAAOwEAAGRycy9lMm9Eb2MueG1sUEsFBgAAAAAGAAYA&#10;WQEAALsFAAAAAA==&#10;">
                <v:fill on="f" focussize="0,0"/>
                <v:stroke on="f" miterlimit="8" joinstyle="miter"/>
                <v:imagedata o:title=""/>
                <o:lock v:ext="edit" aspectratio="f"/>
                <v:textbox style="mso-fit-shape-to-text:t;">
                  <w:txbxContent>
                    <w:p>
                      <w:pPr>
                        <w:rPr>
                          <w:rFonts w:ascii="Times New Roman" w:hAnsi="Times New Roman"/>
                          <w:sz w:val="15"/>
                          <w:szCs w:val="15"/>
                        </w:rPr>
                      </w:pPr>
                      <w:r>
                        <w:rPr>
                          <w:rFonts w:ascii="Times New Roman" w:hAnsi="Times New Roman"/>
                          <w:sz w:val="15"/>
                          <w:szCs w:val="15"/>
                        </w:rPr>
                        <w:t>Ⅲ</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229870</wp:posOffset>
                </wp:positionH>
                <wp:positionV relativeFrom="paragraph">
                  <wp:posOffset>461645</wp:posOffset>
                </wp:positionV>
                <wp:extent cx="341630" cy="201930"/>
                <wp:effectExtent l="0" t="0" r="0" b="0"/>
                <wp:wrapNone/>
                <wp:docPr id="18" name="文本框 18"/>
                <wp:cNvGraphicFramePr/>
                <a:graphic xmlns:a="http://schemas.openxmlformats.org/drawingml/2006/main">
                  <a:graphicData uri="http://schemas.microsoft.com/office/word/2010/wordprocessingShape">
                    <wps:wsp>
                      <wps:cNvSpPr txBox="true">
                        <a:spLocks noChangeArrowheads="true"/>
                      </wps:cNvSpPr>
                      <wps:spPr bwMode="auto">
                        <a:xfrm>
                          <a:off x="0" y="0"/>
                          <a:ext cx="341630" cy="201930"/>
                        </a:xfrm>
                        <a:prstGeom prst="rect">
                          <a:avLst/>
                        </a:prstGeom>
                        <a:noFill/>
                        <a:ln w="9525">
                          <a:noFill/>
                          <a:miter lim="800000"/>
                        </a:ln>
                      </wps:spPr>
                      <wps:txbx>
                        <w:txbxContent>
                          <w:p>
                            <w:pPr>
                              <w:rPr>
                                <w:rFonts w:ascii="Times New Roman" w:hAnsi="Times New Roman"/>
                                <w:sz w:val="15"/>
                                <w:szCs w:val="15"/>
                              </w:rPr>
                            </w:pPr>
                            <w:r>
                              <w:rPr>
                                <w:rFonts w:ascii="Times New Roman" w:hAnsi="Times New Roman"/>
                                <w:sz w:val="15"/>
                                <w:szCs w:val="15"/>
                              </w:rPr>
                              <w:t>Ⅳ</w:t>
                            </w:r>
                          </w:p>
                        </w:txbxContent>
                      </wps:txbx>
                      <wps:bodyPr rot="0" vert="horz" wrap="square" lIns="91440" tIns="45720" rIns="91440" bIns="45720" anchor="t" anchorCtr="false">
                        <a:noAutofit/>
                      </wps:bodyPr>
                    </wps:wsp>
                  </a:graphicData>
                </a:graphic>
              </wp:anchor>
            </w:drawing>
          </mc:Choice>
          <mc:Fallback>
            <w:pict>
              <v:shape id="_x0000_s1026" o:spid="_x0000_s1026" o:spt="202" type="#_x0000_t202" style="position:absolute;left:0pt;margin-left:18.1pt;margin-top:36.35pt;height:15.9pt;width:26.9pt;z-index:251667456;mso-width-relative:page;mso-height-relative:page;" filled="f" stroked="f" coordsize="21600,21600" o:gfxdata="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FgAAAGRycy9QSwECFAAUAAAACACHTuJAS+CQBtUA&#10;AAAIAQAADwAAAAAAAAABACAAAAA4AAAAZHJzL2Rvd25yZXYueG1sUEsBAhQAFAAAAAgAh07iQLk8&#10;Dn8MAgAA5gMAAA4AAAAAAAAAAQAgAAAAOgEAAGRycy9lMm9Eb2MueG1sUEsFBgAAAAAGAAYAWQEA&#10;ALgFAAAAAA==&#10;">
                <v:fill on="f" focussize="0,0"/>
                <v:stroke on="f" miterlimit="8" joinstyle="miter"/>
                <v:imagedata o:title=""/>
                <o:lock v:ext="edit" aspectratio="f"/>
                <v:textbox>
                  <w:txbxContent>
                    <w:p>
                      <w:pPr>
                        <w:rPr>
                          <w:rFonts w:ascii="Times New Roman" w:hAnsi="Times New Roman"/>
                          <w:sz w:val="15"/>
                          <w:szCs w:val="15"/>
                        </w:rPr>
                      </w:pPr>
                      <w:r>
                        <w:rPr>
                          <w:rFonts w:ascii="Times New Roman" w:hAnsi="Times New Roman"/>
                          <w:sz w:val="15"/>
                          <w:szCs w:val="15"/>
                        </w:rPr>
                        <w:t>Ⅳ</w:t>
                      </w:r>
                    </w:p>
                  </w:txbxContent>
                </v:textbox>
              </v:shape>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268605</wp:posOffset>
                </wp:positionH>
                <wp:positionV relativeFrom="paragraph">
                  <wp:posOffset>248920</wp:posOffset>
                </wp:positionV>
                <wp:extent cx="309880" cy="200660"/>
                <wp:effectExtent l="0" t="0" r="0" b="0"/>
                <wp:wrapNone/>
                <wp:docPr id="17" name="文本框 17"/>
                <wp:cNvGraphicFramePr/>
                <a:graphic xmlns:a="http://schemas.openxmlformats.org/drawingml/2006/main">
                  <a:graphicData uri="http://schemas.microsoft.com/office/word/2010/wordprocessingShape">
                    <wps:wsp>
                      <wps:cNvSpPr txBox="true">
                        <a:spLocks noChangeArrowheads="true"/>
                      </wps:cNvSpPr>
                      <wps:spPr bwMode="auto">
                        <a:xfrm>
                          <a:off x="0" y="0"/>
                          <a:ext cx="309880" cy="200660"/>
                        </a:xfrm>
                        <a:prstGeom prst="rect">
                          <a:avLst/>
                        </a:prstGeom>
                        <a:noFill/>
                        <a:ln w="9525">
                          <a:noFill/>
                          <a:miter lim="800000"/>
                        </a:ln>
                      </wps:spPr>
                      <wps:txbx>
                        <w:txbxContent>
                          <w:p>
                            <w:pPr>
                              <w:rPr>
                                <w:rFonts w:ascii="Times New Roman" w:hAnsi="Times New Roman"/>
                                <w:sz w:val="15"/>
                                <w:szCs w:val="15"/>
                              </w:rPr>
                            </w:pPr>
                            <w:r>
                              <w:rPr>
                                <w:rFonts w:ascii="Times New Roman" w:hAnsi="Times New Roman"/>
                                <w:sz w:val="15"/>
                                <w:szCs w:val="15"/>
                              </w:rPr>
                              <w:t>Ⅴ</w:t>
                            </w:r>
                          </w:p>
                        </w:txbxContent>
                      </wps:txbx>
                      <wps:bodyPr rot="0" vert="horz" wrap="square" lIns="91440" tIns="45720" rIns="91440" bIns="45720" anchor="t" anchorCtr="false">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21.15pt;margin-top:19.6pt;height:15.8pt;width:24.4pt;z-index:251668480;mso-width-relative:page;mso-height-relative:margin;mso-height-percent:200;" filled="f" stroked="f" coordsize="21600,21600" o:gfxdata="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BYAAABkcnMvUEsBAhQAFAAAAAgAh07iQBx2EeTV&#10;AAAABwEAAA8AAAAAAAAAAQAgAAAAOAAAAGRycy9kb3ducmV2LnhtbFBLAQIUABQAAAAIAIdO4kBS&#10;zp/EDQIAAOYDAAAOAAAAAAAAAAEAIAAAADoBAABkcnMvZTJvRG9jLnhtbFBLBQYAAAAABgAGAFkB&#10;AAC5BQAAAAA=&#10;">
                <v:fill on="f" focussize="0,0"/>
                <v:stroke on="f" miterlimit="8" joinstyle="miter"/>
                <v:imagedata o:title=""/>
                <o:lock v:ext="edit" aspectratio="f"/>
                <v:textbox style="mso-fit-shape-to-text:t;">
                  <w:txbxContent>
                    <w:p>
                      <w:pPr>
                        <w:rPr>
                          <w:rFonts w:ascii="Times New Roman" w:hAnsi="Times New Roman"/>
                          <w:sz w:val="15"/>
                          <w:szCs w:val="15"/>
                        </w:rPr>
                      </w:pPr>
                      <w:r>
                        <w:rPr>
                          <w:rFonts w:ascii="Times New Roman" w:hAnsi="Times New Roman"/>
                          <w:sz w:val="15"/>
                          <w:szCs w:val="15"/>
                        </w:rPr>
                        <w:t>Ⅴ</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148590</wp:posOffset>
                </wp:positionH>
                <wp:positionV relativeFrom="paragraph">
                  <wp:posOffset>37465</wp:posOffset>
                </wp:positionV>
                <wp:extent cx="413385" cy="250825"/>
                <wp:effectExtent l="0" t="0" r="0" b="0"/>
                <wp:wrapNone/>
                <wp:docPr id="28" name="文本框 28"/>
                <wp:cNvGraphicFramePr/>
                <a:graphic xmlns:a="http://schemas.openxmlformats.org/drawingml/2006/main">
                  <a:graphicData uri="http://schemas.microsoft.com/office/word/2010/wordprocessingShape">
                    <wps:wsp>
                      <wps:cNvSpPr txBox="true"/>
                      <wps:spPr>
                        <a:xfrm>
                          <a:off x="0" y="0"/>
                          <a:ext cx="413385" cy="250825"/>
                        </a:xfrm>
                        <a:prstGeom prst="rect">
                          <a:avLst/>
                        </a:prstGeom>
                        <a:noFill/>
                        <a:ln w="6350">
                          <a:noFill/>
                        </a:ln>
                        <a:effectLst/>
                      </wps:spPr>
                      <wps:txbx>
                        <w:txbxContent>
                          <w:p>
                            <w:pPr>
                              <w:jc w:val="center"/>
                              <w:rPr>
                                <w:rFonts w:ascii="Times New Roman" w:hAnsi="Times New Roman"/>
                                <w:sz w:val="15"/>
                                <w:szCs w:val="18"/>
                              </w:rPr>
                            </w:pPr>
                            <w:r>
                              <w:rPr>
                                <w:rFonts w:hint="eastAsia" w:ascii="Times New Roman" w:hAnsi="Times New Roman"/>
                                <w:sz w:val="15"/>
                                <w:szCs w:val="18"/>
                              </w:rPr>
                              <w:t>劣</w:t>
                            </w:r>
                            <w:r>
                              <w:rPr>
                                <w:rFonts w:ascii="Times New Roman" w:hAnsi="Times New Roman"/>
                                <w:sz w:val="15"/>
                                <w:szCs w:val="18"/>
                              </w:rPr>
                              <w:t>Ⅴ</w:t>
                            </w:r>
                          </w:p>
                        </w:txbxContent>
                      </wps:txbx>
                      <wps:bodyPr rot="0" spcFirstLastPara="0" vertOverflow="overflow" horzOverflow="overflow" vert="horz" wrap="square" lIns="91440" tIns="45720" rIns="91440" bIns="45720" numCol="1" spcCol="0" rtlCol="0" fromWordArt="false" anchor="t" anchorCtr="false" forceAA="false" compatLnSpc="true">
                        <a:noAutofit/>
                      </wps:bodyPr>
                    </wps:wsp>
                  </a:graphicData>
                </a:graphic>
              </wp:anchor>
            </w:drawing>
          </mc:Choice>
          <mc:Fallback>
            <w:pict>
              <v:shape id="_x0000_s1026" o:spid="_x0000_s1026" o:spt="202" type="#_x0000_t202" style="position:absolute;left:0pt;margin-left:11.7pt;margin-top:2.95pt;height:19.75pt;width:32.55pt;z-index:251663360;mso-width-relative:page;mso-height-relative:page;" filled="f" stroked="f" coordsize="21600,21600" o:gfxdata="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gRreqNcAAAAGAQAADwAAAAAAAAABACAAAAA4AAAA&#10;ZHJzL2Rvd25yZXYueG1sUEsBAhQAFAAAAAgAh07iQP/sPUErAgAAOQQAAA4AAAAAAAAAAQAgAAAA&#10;PAEAAGRycy9lMm9Eb2MueG1sUEsFBgAAAAAGAAYAWQEAANkFAAAAAA==&#10;">
                <v:fill on="f" focussize="0,0"/>
                <v:stroke on="f" weight="0.5pt"/>
                <v:imagedata o:title=""/>
                <o:lock v:ext="edit" aspectratio="f"/>
                <v:textbox>
                  <w:txbxContent>
                    <w:p>
                      <w:pPr>
                        <w:jc w:val="center"/>
                        <w:rPr>
                          <w:rFonts w:ascii="Times New Roman" w:hAnsi="Times New Roman"/>
                          <w:sz w:val="15"/>
                          <w:szCs w:val="18"/>
                        </w:rPr>
                      </w:pPr>
                      <w:r>
                        <w:rPr>
                          <w:rFonts w:hint="eastAsia" w:ascii="Times New Roman" w:hAnsi="Times New Roman"/>
                          <w:sz w:val="15"/>
                          <w:szCs w:val="18"/>
                        </w:rPr>
                        <w:t>劣</w:t>
                      </w:r>
                      <w:r>
                        <w:rPr>
                          <w:rFonts w:ascii="Times New Roman" w:hAnsi="Times New Roman"/>
                          <w:sz w:val="15"/>
                          <w:szCs w:val="18"/>
                        </w:rPr>
                        <w:t>Ⅴ</w:t>
                      </w:r>
                    </w:p>
                  </w:txbxContent>
                </v:textbox>
              </v:shape>
            </w:pict>
          </mc:Fallback>
        </mc:AlternateContent>
      </w:r>
      <w:r>
        <w:drawing>
          <wp:inline distT="0" distB="0" distL="0" distR="0">
            <wp:extent cx="5324475" cy="3048000"/>
            <wp:effectExtent l="0" t="0" r="9525" b="0"/>
            <wp:docPr id="29" name="图表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pPr>
        <w:pStyle w:val="2"/>
        <w:rPr>
          <w:rFonts w:ascii="宋体" w:hAnsi="宋体" w:cs="宋体"/>
          <w:sz w:val="22"/>
          <w:szCs w:val="22"/>
        </w:rPr>
      </w:pPr>
      <w:r>
        <w:rPr>
          <w:rFonts w:hint="eastAsia" w:ascii="宋体" w:hAnsi="宋体" w:cs="宋体"/>
          <w:sz w:val="22"/>
          <w:szCs w:val="22"/>
        </w:rPr>
        <w:t>图21  20</w:t>
      </w:r>
      <w:r>
        <w:rPr>
          <w:rFonts w:ascii="宋体" w:hAnsi="宋体" w:cs="宋体"/>
          <w:sz w:val="22"/>
          <w:szCs w:val="22"/>
        </w:rPr>
        <w:t>20</w:t>
      </w:r>
      <w:r>
        <w:rPr>
          <w:rFonts w:hint="eastAsia" w:ascii="宋体" w:hAnsi="宋体" w:cs="宋体"/>
          <w:sz w:val="22"/>
          <w:szCs w:val="22"/>
        </w:rPr>
        <w:t>和202</w:t>
      </w:r>
      <w:r>
        <w:rPr>
          <w:rFonts w:ascii="宋体" w:hAnsi="宋体" w:cs="宋体"/>
          <w:sz w:val="22"/>
          <w:szCs w:val="22"/>
        </w:rPr>
        <w:t>1</w:t>
      </w:r>
      <w:r>
        <w:rPr>
          <w:rFonts w:hint="eastAsia" w:ascii="宋体" w:hAnsi="宋体" w:cs="宋体"/>
          <w:sz w:val="22"/>
          <w:szCs w:val="22"/>
        </w:rPr>
        <w:t>年国控、</w:t>
      </w:r>
      <w:r>
        <w:rPr>
          <w:rFonts w:ascii="宋体" w:hAnsi="宋体" w:cs="宋体"/>
          <w:sz w:val="22"/>
          <w:szCs w:val="22"/>
        </w:rPr>
        <w:t>市控</w:t>
      </w:r>
      <w:r>
        <w:rPr>
          <w:rFonts w:hint="eastAsia" w:ascii="宋体" w:hAnsi="宋体" w:cs="宋体"/>
          <w:sz w:val="22"/>
          <w:szCs w:val="22"/>
        </w:rPr>
        <w:t>断面水质类别比较图</w:t>
      </w:r>
    </w:p>
    <w:p>
      <w:pPr>
        <w:ind w:firstLine="420" w:firstLineChars="200"/>
      </w:pPr>
    </w:p>
    <w:p>
      <w:pPr>
        <w:numPr>
          <w:ilvl w:val="0"/>
          <w:numId w:val="3"/>
        </w:numPr>
        <w:spacing w:before="312" w:beforeLines="100" w:after="312" w:afterLines="100"/>
        <w:rPr>
          <w:rFonts w:eastAsia="黑体"/>
          <w:sz w:val="28"/>
          <w:szCs w:val="32"/>
        </w:rPr>
      </w:pPr>
      <w:r>
        <w:rPr>
          <w:rFonts w:hint="eastAsia" w:ascii="黑体" w:hAnsi="黑体" w:eastAsia="黑体" w:cs="黑体"/>
          <w:sz w:val="28"/>
          <w:szCs w:val="28"/>
        </w:rPr>
        <w:t>声环境质量</w:t>
      </w:r>
      <w:bookmarkStart w:id="20" w:name="_Toc66439213"/>
    </w:p>
    <w:p>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2021年，青浦区的噪声环境保持良好。其中，区域环境噪声昼间时段较2020年上升1.0 dB(A)，夜间时段较2020年下降0.9dB(A)，评价达到“一般”以上水平的占比分别为100%和92.9%。道路交通噪声昼间和夜间时段较2020年分别下降了1.5 dB(A)和0.8 dB(A)，评价达到“一般”以上水平的占比分别为100%和73.4%。1类、2类和3类功能区噪声昼间夜间时段等效声级均已达标。</w:t>
      </w:r>
    </w:p>
    <w:p>
      <w:pPr>
        <w:ind w:firstLine="560" w:firstLineChars="200"/>
        <w:rPr>
          <w:rFonts w:ascii="Times New Roman" w:hAnsi="Times New Roman" w:eastAsia="仿宋_GB2312" w:cs="Times New Roman"/>
          <w:sz w:val="28"/>
          <w:szCs w:val="32"/>
        </w:rPr>
      </w:pPr>
      <w:r>
        <w:rPr>
          <w:rFonts w:ascii="Times New Roman" w:hAnsi="Times New Roman" w:eastAsia="仿宋_GB2312" w:cs="Times New Roman"/>
          <w:sz w:val="28"/>
          <w:szCs w:val="28"/>
        </w:rPr>
        <w:t>1.</w:t>
      </w:r>
      <w:r>
        <w:rPr>
          <w:rFonts w:ascii="Times New Roman" w:hAnsi="Times New Roman" w:eastAsia="仿宋_GB2312" w:cs="Times New Roman"/>
          <w:sz w:val="28"/>
          <w:szCs w:val="32"/>
        </w:rPr>
        <w:t>区域环境噪声</w:t>
      </w:r>
      <w:bookmarkEnd w:id="20"/>
    </w:p>
    <w:p>
      <w:pPr>
        <w:spacing w:after="312" w:afterLines="100"/>
        <w:ind w:firstLine="560" w:firstLineChars="200"/>
        <w:rPr>
          <w:rFonts w:ascii="Times New Roman" w:hAnsi="Times New Roman" w:eastAsia="仿宋_GB2312" w:cs="Times New Roman"/>
          <w:sz w:val="28"/>
          <w:szCs w:val="28"/>
        </w:rPr>
      </w:pPr>
      <w:bookmarkStart w:id="21" w:name="_Toc66439214"/>
      <w:r>
        <w:rPr>
          <w:rFonts w:hint="eastAsia" w:ascii="Times New Roman" w:hAnsi="Times New Roman" w:eastAsia="仿宋_GB2312" w:cs="Times New Roman"/>
          <w:sz w:val="28"/>
          <w:szCs w:val="28"/>
        </w:rPr>
        <w:t>202</w:t>
      </w:r>
      <w:r>
        <w:rPr>
          <w:rFonts w:ascii="Times New Roman" w:hAnsi="Times New Roman" w:eastAsia="仿宋_GB2312" w:cs="Times New Roman"/>
          <w:sz w:val="28"/>
          <w:szCs w:val="28"/>
        </w:rPr>
        <w:t>1</w:t>
      </w:r>
      <w:r>
        <w:rPr>
          <w:rFonts w:hint="eastAsia" w:ascii="Times New Roman" w:hAnsi="Times New Roman" w:eastAsia="仿宋_GB2312" w:cs="Times New Roman"/>
          <w:sz w:val="28"/>
          <w:szCs w:val="28"/>
        </w:rPr>
        <w:t>年，区域环境噪声昼间时段的平均等效声级平均值为5</w:t>
      </w:r>
      <w:r>
        <w:rPr>
          <w:rFonts w:ascii="Times New Roman" w:hAnsi="Times New Roman" w:eastAsia="仿宋_GB2312" w:cs="Times New Roman"/>
          <w:sz w:val="28"/>
          <w:szCs w:val="28"/>
        </w:rPr>
        <w:t>3</w:t>
      </w:r>
      <w:r>
        <w:rPr>
          <w:rFonts w:hint="eastAsia" w:ascii="Times New Roman" w:hAnsi="Times New Roman" w:eastAsia="仿宋_GB2312" w:cs="Times New Roman"/>
          <w:sz w:val="28"/>
          <w:szCs w:val="28"/>
        </w:rPr>
        <w:t>.4dB(A)，较上年上升1.0dB(A)；夜间时段的平均等效声级平均为4</w:t>
      </w:r>
      <w:r>
        <w:rPr>
          <w:rFonts w:ascii="Times New Roman" w:hAnsi="Times New Roman" w:eastAsia="仿宋_GB2312" w:cs="Times New Roman"/>
          <w:sz w:val="28"/>
          <w:szCs w:val="28"/>
        </w:rPr>
        <w:t>5.3</w:t>
      </w:r>
      <w:r>
        <w:rPr>
          <w:rFonts w:hint="eastAsia" w:ascii="Times New Roman" w:hAnsi="Times New Roman" w:eastAsia="仿宋_GB2312" w:cs="Times New Roman"/>
          <w:sz w:val="28"/>
          <w:szCs w:val="28"/>
        </w:rPr>
        <w:t>dB(A)，较上年下降</w:t>
      </w:r>
      <w:r>
        <w:rPr>
          <w:rFonts w:ascii="Times New Roman" w:hAnsi="Times New Roman" w:eastAsia="仿宋_GB2312" w:cs="Times New Roman"/>
          <w:sz w:val="28"/>
          <w:szCs w:val="28"/>
        </w:rPr>
        <w:t>0.9</w:t>
      </w:r>
      <w:r>
        <w:rPr>
          <w:rFonts w:hint="eastAsia" w:ascii="Times New Roman" w:hAnsi="Times New Roman" w:eastAsia="仿宋_GB2312" w:cs="Times New Roman"/>
          <w:sz w:val="28"/>
          <w:szCs w:val="28"/>
        </w:rPr>
        <w:t>dB(A)（图22）。</w:t>
      </w:r>
    </w:p>
    <w:p>
      <w:pPr>
        <w:pStyle w:val="2"/>
        <w:rPr>
          <w:rFonts w:ascii="宋体" w:hAnsi="宋体" w:cs="宋体"/>
          <w:b w:val="0"/>
          <w:sz w:val="22"/>
          <w:szCs w:val="22"/>
        </w:rPr>
      </w:pPr>
      <w:r>
        <w:drawing>
          <wp:anchor distT="0" distB="0" distL="114300" distR="114300" simplePos="0" relativeHeight="251669504" behindDoc="0" locked="0" layoutInCell="1" allowOverlap="1">
            <wp:simplePos x="0" y="0"/>
            <wp:positionH relativeFrom="column">
              <wp:posOffset>603250</wp:posOffset>
            </wp:positionH>
            <wp:positionV relativeFrom="paragraph">
              <wp:posOffset>285750</wp:posOffset>
            </wp:positionV>
            <wp:extent cx="4572000" cy="2592070"/>
            <wp:effectExtent l="0" t="0" r="0" b="0"/>
            <wp:wrapTopAndBottom/>
            <wp:docPr id="213" name="图表 2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anchor>
        </w:drawing>
      </w:r>
      <w:r>
        <w:rPr>
          <w:rFonts w:hint="eastAsia" w:ascii="宋体" w:hAnsi="宋体" w:cs="宋体"/>
          <w:sz w:val="22"/>
          <w:szCs w:val="22"/>
        </w:rPr>
        <w:t>图22  201</w:t>
      </w:r>
      <w:r>
        <w:rPr>
          <w:rFonts w:ascii="宋体" w:hAnsi="宋体" w:cs="宋体"/>
          <w:b w:val="0"/>
          <w:sz w:val="22"/>
          <w:szCs w:val="22"/>
        </w:rPr>
        <w:t>7-</w:t>
      </w:r>
      <w:r>
        <w:rPr>
          <w:rFonts w:hint="eastAsia" w:ascii="宋体" w:hAnsi="宋体" w:cs="宋体"/>
          <w:sz w:val="22"/>
          <w:szCs w:val="22"/>
        </w:rPr>
        <w:t>202</w:t>
      </w:r>
      <w:r>
        <w:rPr>
          <w:rFonts w:ascii="宋体" w:hAnsi="宋体" w:cs="宋体"/>
          <w:b w:val="0"/>
          <w:sz w:val="22"/>
          <w:szCs w:val="22"/>
        </w:rPr>
        <w:t>1</w:t>
      </w:r>
      <w:r>
        <w:rPr>
          <w:rFonts w:hint="eastAsia" w:ascii="宋体" w:hAnsi="宋体" w:cs="宋体"/>
          <w:sz w:val="22"/>
          <w:szCs w:val="22"/>
        </w:rPr>
        <w:t>年青浦区区域环境噪声变化趋势图</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根据《环境噪声监测技术规范城市声环境常规监测》（HJ 640-2012）评价，昼间时段有100%的测点达到“好”、“较好”和“一般”水平，夜间时段有92.9%的测点达到“好”、“较好”和“一般”水平（图23）。</w:t>
      </w:r>
    </w:p>
    <w:p>
      <w:pPr>
        <w:ind w:firstLine="640" w:firstLineChars="200"/>
        <w:jc w:val="left"/>
        <w:rPr>
          <w:rFonts w:ascii="Times New Roman" w:hAnsi="Times New Roman" w:eastAsia="仿宋_GB2312"/>
          <w:sz w:val="32"/>
          <w:szCs w:val="32"/>
        </w:rPr>
      </w:pPr>
      <w:r>
        <w:rPr>
          <w:rFonts w:ascii="Times New Roman" w:hAnsi="Times New Roman" w:eastAsia="仿宋_GB2312"/>
          <w:sz w:val="32"/>
          <w:szCs w:val="32"/>
        </w:rPr>
        <w:drawing>
          <wp:inline distT="0" distB="0" distL="0" distR="0">
            <wp:extent cx="2362200" cy="1838325"/>
            <wp:effectExtent l="0" t="0" r="0" b="5715"/>
            <wp:docPr id="33" name="图表 18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Pr>
          <w:rFonts w:ascii="Times New Roman" w:hAnsi="Times New Roman" w:eastAsia="仿宋_GB2312"/>
          <w:sz w:val="32"/>
          <w:szCs w:val="32"/>
        </w:rPr>
        <w:drawing>
          <wp:inline distT="0" distB="0" distL="0" distR="0">
            <wp:extent cx="2371725" cy="1838325"/>
            <wp:effectExtent l="0" t="0" r="5715" b="5715"/>
            <wp:docPr id="9" name="图表 184"/>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pPr>
        <w:jc w:val="center"/>
        <w:rPr>
          <w:rFonts w:ascii="宋体" w:hAnsi="宋体" w:cs="宋体"/>
          <w:b/>
          <w:sz w:val="22"/>
          <w:szCs w:val="22"/>
        </w:rPr>
      </w:pPr>
      <w:r>
        <w:rPr>
          <w:rFonts w:hint="eastAsia" w:ascii="宋体" w:hAnsi="宋体" w:cs="宋体"/>
          <w:b/>
          <w:sz w:val="22"/>
          <w:szCs w:val="22"/>
        </w:rPr>
        <w:t>图23  202</w:t>
      </w:r>
      <w:r>
        <w:rPr>
          <w:rFonts w:ascii="宋体" w:hAnsi="宋体" w:cs="宋体"/>
          <w:b/>
          <w:sz w:val="22"/>
          <w:szCs w:val="22"/>
        </w:rPr>
        <w:t>1</w:t>
      </w:r>
      <w:r>
        <w:rPr>
          <w:rFonts w:hint="eastAsia" w:ascii="宋体" w:hAnsi="宋体" w:cs="宋体"/>
          <w:b/>
          <w:sz w:val="22"/>
          <w:szCs w:val="22"/>
        </w:rPr>
        <w:t>年青浦区区域环境噪声等级分布图</w:t>
      </w:r>
    </w:p>
    <w:p>
      <w:pPr>
        <w:spacing w:before="312" w:beforeLines="100"/>
        <w:ind w:firstLine="560" w:firstLineChars="200"/>
        <w:jc w:val="left"/>
        <w:rPr>
          <w:rFonts w:ascii="Times New Roman" w:hAnsi="Times New Roman" w:eastAsia="仿宋_GB2312" w:cs="Times New Roman"/>
          <w:bCs/>
          <w:sz w:val="28"/>
          <w:szCs w:val="28"/>
        </w:rPr>
      </w:pPr>
      <w:r>
        <w:rPr>
          <w:rFonts w:ascii="Times New Roman" w:hAnsi="Times New Roman" w:eastAsia="仿宋_GB2312" w:cs="Times New Roman"/>
          <w:bCs/>
          <w:sz w:val="28"/>
          <w:szCs w:val="28"/>
        </w:rPr>
        <w:t>2.道路交通噪声</w:t>
      </w:r>
      <w:bookmarkEnd w:id="21"/>
    </w:p>
    <w:p>
      <w:pPr>
        <w:spacing w:after="312" w:afterLines="100"/>
        <w:ind w:firstLine="420" w:firstLineChars="200"/>
        <w:rPr>
          <w:rFonts w:ascii="Times New Roman" w:hAnsi="Times New Roman" w:eastAsia="仿宋_GB2312" w:cs="Times New Roman"/>
          <w:sz w:val="28"/>
          <w:szCs w:val="28"/>
        </w:rPr>
      </w:pPr>
      <w:bookmarkStart w:id="22" w:name="_Toc66439215"/>
      <w:r>
        <w:drawing>
          <wp:anchor distT="0" distB="0" distL="114300" distR="114300" simplePos="0" relativeHeight="251673600" behindDoc="0" locked="0" layoutInCell="1" allowOverlap="1">
            <wp:simplePos x="0" y="0"/>
            <wp:positionH relativeFrom="margin">
              <wp:posOffset>472440</wp:posOffset>
            </wp:positionH>
            <wp:positionV relativeFrom="paragraph">
              <wp:posOffset>1182370</wp:posOffset>
            </wp:positionV>
            <wp:extent cx="4500245" cy="2419985"/>
            <wp:effectExtent l="0" t="0" r="0" b="0"/>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anchor>
        </w:drawing>
      </w:r>
      <w:r>
        <w:rPr>
          <w:rFonts w:hint="eastAsia" w:ascii="Times New Roman" w:hAnsi="Times New Roman" w:eastAsia="仿宋_GB2312" w:cs="Times New Roman"/>
          <w:sz w:val="28"/>
          <w:szCs w:val="28"/>
        </w:rPr>
        <w:drawing>
          <wp:anchor distT="0" distB="0" distL="114300" distR="114300" simplePos="0" relativeHeight="251670528" behindDoc="0" locked="0" layoutInCell="1" allowOverlap="1">
            <wp:simplePos x="0" y="0"/>
            <wp:positionH relativeFrom="column">
              <wp:posOffset>470535</wp:posOffset>
            </wp:positionH>
            <wp:positionV relativeFrom="paragraph">
              <wp:posOffset>1180465</wp:posOffset>
            </wp:positionV>
            <wp:extent cx="4572000" cy="2313305"/>
            <wp:effectExtent l="0" t="0" r="0" b="3175"/>
            <wp:wrapTopAndBottom/>
            <wp:docPr id="219" name="图表 2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anchor>
        </w:drawing>
      </w:r>
      <w:r>
        <w:rPr>
          <w:rFonts w:hint="eastAsia" w:ascii="Times New Roman" w:hAnsi="Times New Roman" w:eastAsia="仿宋_GB2312" w:cs="Times New Roman"/>
          <w:sz w:val="28"/>
          <w:szCs w:val="28"/>
        </w:rPr>
        <w:t>2021年，青浦区道路交通昼间时段的平均等效声级为64.4dB(A)，较去年下降1.</w:t>
      </w:r>
      <w:r>
        <w:rPr>
          <w:rFonts w:ascii="Times New Roman" w:hAnsi="Times New Roman" w:eastAsia="仿宋_GB2312" w:cs="Times New Roman"/>
          <w:sz w:val="28"/>
          <w:szCs w:val="28"/>
        </w:rPr>
        <w:t>5</w:t>
      </w:r>
      <w:r>
        <w:rPr>
          <w:rFonts w:hint="eastAsia" w:ascii="Times New Roman" w:hAnsi="Times New Roman" w:eastAsia="仿宋_GB2312" w:cs="Times New Roman"/>
          <w:sz w:val="28"/>
          <w:szCs w:val="28"/>
        </w:rPr>
        <w:t>dB(A)；夜间时段的平均等效声级为5</w:t>
      </w:r>
      <w:r>
        <w:rPr>
          <w:rFonts w:ascii="Times New Roman" w:hAnsi="Times New Roman" w:eastAsia="仿宋_GB2312" w:cs="Times New Roman"/>
          <w:sz w:val="28"/>
          <w:szCs w:val="28"/>
        </w:rPr>
        <w:t>8</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9</w:t>
      </w:r>
      <w:r>
        <w:rPr>
          <w:rFonts w:hint="eastAsia" w:ascii="Times New Roman" w:hAnsi="Times New Roman" w:eastAsia="仿宋_GB2312" w:cs="Times New Roman"/>
          <w:sz w:val="28"/>
          <w:szCs w:val="28"/>
        </w:rPr>
        <w:t>dB(A)，较去年下降0.</w:t>
      </w:r>
      <w:r>
        <w:rPr>
          <w:rFonts w:ascii="Times New Roman" w:hAnsi="Times New Roman" w:eastAsia="仿宋_GB2312" w:cs="Times New Roman"/>
          <w:sz w:val="28"/>
          <w:szCs w:val="28"/>
        </w:rPr>
        <w:t>8</w:t>
      </w:r>
      <w:r>
        <w:rPr>
          <w:rFonts w:hint="eastAsia" w:ascii="Times New Roman" w:hAnsi="Times New Roman" w:eastAsia="仿宋_GB2312" w:cs="Times New Roman"/>
          <w:sz w:val="28"/>
          <w:szCs w:val="28"/>
        </w:rPr>
        <w:t>dB(A)（图24）。</w:t>
      </w:r>
    </w:p>
    <w:p>
      <w:pPr>
        <w:spacing w:after="156" w:afterLines="50"/>
        <w:jc w:val="center"/>
        <w:rPr>
          <w:rFonts w:ascii="宋体" w:hAnsi="宋体" w:cs="宋体"/>
          <w:b/>
          <w:sz w:val="22"/>
          <w:szCs w:val="22"/>
        </w:rPr>
      </w:pPr>
      <w:r>
        <w:rPr>
          <w:rFonts w:hint="eastAsia" w:ascii="宋体" w:hAnsi="宋体" w:cs="宋体"/>
          <w:b/>
          <w:sz w:val="22"/>
          <w:szCs w:val="22"/>
        </w:rPr>
        <w:t>图24  201</w:t>
      </w:r>
      <w:r>
        <w:rPr>
          <w:rFonts w:ascii="宋体" w:hAnsi="宋体" w:cs="宋体"/>
          <w:b/>
          <w:sz w:val="22"/>
          <w:szCs w:val="22"/>
        </w:rPr>
        <w:t>7-</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年青浦区道路交通噪声变化趋势图</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根据《环境噪声监测技术规范城市声环境常规监测》（HJ 640-2012）评价，昼间时段有100%的测点达到“好”的水平，夜间时段有73.4%的测点达到“好”、“较好”和“一般”水平（图25）。</w:t>
      </w:r>
    </w:p>
    <w:p>
      <w:pPr>
        <w:spacing w:before="240" w:line="360" w:lineRule="auto"/>
        <w:jc w:val="center"/>
        <w:rPr>
          <w:rFonts w:ascii="宋体" w:hAnsi="宋体" w:cs="宋体"/>
          <w:b/>
          <w:sz w:val="22"/>
          <w:szCs w:val="22"/>
        </w:rPr>
      </w:pPr>
      <w:r>
        <w:rPr>
          <w:rFonts w:ascii="Times New Roman" w:hAnsi="Times New Roman"/>
          <w:szCs w:val="21"/>
        </w:rPr>
        <w:drawing>
          <wp:inline distT="0" distB="0" distL="0" distR="0">
            <wp:extent cx="2645410" cy="1876425"/>
            <wp:effectExtent l="0" t="0" r="6350" b="13335"/>
            <wp:docPr id="191" name="图表 19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Pr>
          <w:rFonts w:ascii="Times New Roman" w:hAnsi="Times New Roman"/>
          <w:szCs w:val="21"/>
        </w:rPr>
        <w:drawing>
          <wp:inline distT="0" distB="0" distL="0" distR="0">
            <wp:extent cx="2645410" cy="1733550"/>
            <wp:effectExtent l="0" t="0" r="6350" b="3810"/>
            <wp:docPr id="190" name="图表 19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pPr>
        <w:spacing w:before="240" w:line="360" w:lineRule="auto"/>
        <w:jc w:val="center"/>
        <w:rPr>
          <w:rFonts w:ascii="宋体" w:hAnsi="宋体" w:cs="宋体"/>
          <w:b/>
          <w:sz w:val="22"/>
          <w:szCs w:val="22"/>
        </w:rPr>
      </w:pPr>
      <w:r>
        <w:rPr>
          <w:rFonts w:hint="eastAsia" w:ascii="宋体" w:hAnsi="宋体" w:cs="宋体"/>
          <w:b/>
          <w:sz w:val="22"/>
          <w:szCs w:val="22"/>
        </w:rPr>
        <w:t>图25  202</w:t>
      </w:r>
      <w:r>
        <w:rPr>
          <w:rFonts w:ascii="宋体" w:hAnsi="宋体" w:cs="宋体"/>
          <w:b/>
          <w:sz w:val="22"/>
          <w:szCs w:val="22"/>
        </w:rPr>
        <w:t>1</w:t>
      </w:r>
      <w:r>
        <w:rPr>
          <w:rFonts w:hint="eastAsia" w:ascii="宋体" w:hAnsi="宋体" w:cs="宋体"/>
          <w:b/>
          <w:sz w:val="22"/>
          <w:szCs w:val="22"/>
        </w:rPr>
        <w:t>年青浦区昼间和夜间时段道路交通噪声等级分布图</w:t>
      </w:r>
    </w:p>
    <w:p>
      <w:pPr>
        <w:ind w:left="420" w:leftChars="200"/>
        <w:jc w:val="left"/>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3.</w:t>
      </w:r>
      <w:r>
        <w:rPr>
          <w:rFonts w:ascii="Times New Roman" w:hAnsi="Times New Roman" w:eastAsia="仿宋_GB2312" w:cs="Times New Roman"/>
          <w:sz w:val="28"/>
          <w:szCs w:val="28"/>
        </w:rPr>
        <w:t>功能区噪声</w:t>
      </w:r>
      <w:bookmarkEnd w:id="22"/>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2021年，青浦区1类功能区噪声昼间和夜间时分别为48.9dB(A)和41.6dB(A)，较2020年相比，昼间时段不变，夜间时段下降0.5dB(A)；2类功能区噪声昼间和夜间时段分别为55.2dB(A)和47.3dB(A)，较2020年相比，昼间和夜间时段分别上升2.9dB(A)和4.4dB(A)；3类功能区噪声昼间时段和夜间时段分别为54.2dB(A)和46.1dB(A)，较2020年相比，昼间和夜间时段分别上升0.5dB(A)和2.2dB(A)（图26）。</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2021根据《声环境质量标准》（GB3096-2008）评价，本区1、2、3类功能区昼间、夜间时段均已达标。</w:t>
      </w:r>
    </w:p>
    <w:p>
      <w:pPr>
        <w:jc w:val="center"/>
        <w:rPr>
          <w:rFonts w:ascii="Times New Roman" w:hAnsi="Times New Roman"/>
          <w:szCs w:val="21"/>
        </w:rPr>
      </w:pPr>
      <w:r>
        <w:drawing>
          <wp:inline distT="0" distB="0" distL="0" distR="0">
            <wp:extent cx="4572000" cy="2623820"/>
            <wp:effectExtent l="4445" t="4445" r="10795" b="8255"/>
            <wp:docPr id="45" name="图表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r>
        <w:drawing>
          <wp:inline distT="0" distB="0" distL="0" distR="0">
            <wp:extent cx="4572000" cy="2536190"/>
            <wp:effectExtent l="4445" t="4445" r="10795" b="19685"/>
            <wp:docPr id="46" name="图表 46"/>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jc w:val="center"/>
        <w:rPr>
          <w:rFonts w:ascii="宋体" w:hAnsi="宋体" w:cs="宋体"/>
          <w:b/>
          <w:sz w:val="22"/>
          <w:szCs w:val="22"/>
        </w:rPr>
      </w:pPr>
      <w:r>
        <w:rPr>
          <w:rFonts w:hint="eastAsia" w:ascii="宋体" w:hAnsi="宋体" w:cs="宋体"/>
          <w:b/>
          <w:sz w:val="22"/>
          <w:szCs w:val="22"/>
        </w:rPr>
        <w:t>图26  201</w:t>
      </w:r>
      <w:r>
        <w:rPr>
          <w:rFonts w:ascii="宋体" w:hAnsi="宋体" w:cs="宋体"/>
          <w:b/>
          <w:sz w:val="22"/>
          <w:szCs w:val="22"/>
        </w:rPr>
        <w:t>7-</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年青浦区功能区噪声监测结果图</w:t>
      </w:r>
    </w:p>
    <w:p>
      <w:pPr>
        <w:numPr>
          <w:ilvl w:val="0"/>
          <w:numId w:val="3"/>
        </w:numPr>
        <w:spacing w:before="312" w:beforeLines="100" w:after="312" w:afterLines="100"/>
        <w:rPr>
          <w:rFonts w:ascii="黑体" w:hAnsi="黑体" w:eastAsia="黑体" w:cs="黑体"/>
          <w:sz w:val="28"/>
          <w:szCs w:val="28"/>
        </w:rPr>
      </w:pPr>
      <w:r>
        <w:rPr>
          <w:rFonts w:hint="eastAsia" w:ascii="黑体" w:hAnsi="黑体" w:eastAsia="黑体" w:cs="黑体"/>
          <w:sz w:val="28"/>
          <w:szCs w:val="28"/>
        </w:rPr>
        <w:t>辐射环境质量</w:t>
      </w:r>
      <w:bookmarkStart w:id="23" w:name="_Toc66439217"/>
    </w:p>
    <w:p>
      <w:pPr>
        <w:ind w:firstLine="560" w:firstLineChars="200"/>
        <w:rPr>
          <w:rFonts w:ascii="Times New Roman" w:hAnsi="Times New Roman" w:eastAsia="仿宋_GB2312" w:cs="Times New Roman"/>
          <w:sz w:val="28"/>
          <w:szCs w:val="28"/>
          <w:lang w:val="zh-CN"/>
        </w:rPr>
      </w:pPr>
      <w:r>
        <w:rPr>
          <w:rFonts w:ascii="Times New Roman" w:hAnsi="Times New Roman" w:eastAsia="仿宋_GB2312" w:cs="Times New Roman"/>
          <w:sz w:val="28"/>
          <w:szCs w:val="28"/>
          <w:lang w:val="zh-CN"/>
        </w:rPr>
        <w:t>2021年，全区辐射环境保持正常本底水平。其中青浦报国寺点位空气电离辐射全年累积剂量、土壤中放射均性水平和淀山湖水体的放射性水平均处于正常的本底水平；青浦工业园区电磁辐射处正常环境背景水平；23个移动通讯基站监督性监测产生的电磁辐射均低于对应频段规定的标准限值。</w:t>
      </w:r>
    </w:p>
    <w:p>
      <w:pPr>
        <w:numPr>
          <w:ilvl w:val="0"/>
          <w:numId w:val="7"/>
        </w:num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电离辐射</w:t>
      </w:r>
      <w:bookmarkEnd w:id="23"/>
      <w:bookmarkStart w:id="24" w:name="_Toc66439218"/>
    </w:p>
    <w:p>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2021年，全区电离辐射环境保持正常本底水平。报国寺监测站点的γ辐射累积剂量年均值为86.4纳戈瑞/小时，与上年相比，升高了15.8纳戈瑞/小时。</w:t>
      </w:r>
    </w:p>
    <w:p>
      <w:pPr>
        <w:ind w:firstLine="560" w:firstLineChars="200"/>
        <w:rPr>
          <w:rFonts w:ascii="Times New Roman" w:hAnsi="Times New Roman" w:eastAsia="仿宋_GB2312" w:cs="Times New Roman"/>
          <w:sz w:val="28"/>
          <w:szCs w:val="28"/>
        </w:rPr>
      </w:pPr>
      <w:r>
        <w:rPr>
          <w:rFonts w:ascii="Times New Roman" w:hAnsi="Times New Roman" w:eastAsia="仿宋_GB2312" w:cs="Times New Roman"/>
          <w:sz w:val="28"/>
          <w:szCs w:val="28"/>
        </w:rPr>
        <w:t>2021年</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报国寺监测站点土壤中放射性核素比含量238U、232Th、226Ra、40K和137Cs等放射性核素比含量分别为： 30贝克/千克（小于）、50贝克/千克、36贝克/千克、4.9×102贝克/千克和0.6贝克/千克，符合《电离辐射防护与辐射源安全基本标准》（GB 18871-2002）的要求。与2020年相比，处于稳定水平。</w:t>
      </w:r>
    </w:p>
    <w:p>
      <w:pPr>
        <w:pStyle w:val="9"/>
        <w:spacing w:line="360" w:lineRule="auto"/>
        <w:ind w:firstLine="560"/>
        <w:rPr>
          <w:rFonts w:ascii="Times New Roman" w:hAnsi="Times New Roman" w:eastAsia="仿宋_GB2312" w:cs="Times New Roman"/>
          <w:sz w:val="28"/>
          <w:szCs w:val="28"/>
        </w:rPr>
      </w:pPr>
      <w:r>
        <w:rPr>
          <w:rFonts w:ascii="Times New Roman" w:hAnsi="Times New Roman" w:eastAsia="仿宋_GB2312" w:cs="Times New Roman"/>
          <w:sz w:val="28"/>
          <w:szCs w:val="28"/>
        </w:rPr>
        <w:t>2021年</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淀山湖监测站点水中U、Th、226Ra、40K、总α、总β、90Sr和137Cs的放射性核素浓度分别为：0.41-0.85微克/升、0.0703-0.1880微克/升、4.78-5.28毫贝克/升、192-210毫贝克/升、0.0098贝克/升、0.199-0.216贝克/升、2.1-6.3毫贝克/升和&lt;0.067毫贝克/升，符合《电离辐射防护与辐射源安全基本标准》（GB 18871-2002）的要求。与2020年相比无显著变化，处于正常环境本底水平。</w:t>
      </w:r>
    </w:p>
    <w:p>
      <w:pPr>
        <w:pStyle w:val="9"/>
        <w:numPr>
          <w:ilvl w:val="0"/>
          <w:numId w:val="7"/>
        </w:numPr>
        <w:spacing w:line="360" w:lineRule="auto"/>
        <w:ind w:firstLine="560"/>
        <w:rPr>
          <w:rFonts w:ascii="Times New Roman" w:hAnsi="Times New Roman" w:eastAsia="仿宋_GB2312" w:cs="Times New Roman"/>
          <w:sz w:val="28"/>
          <w:szCs w:val="28"/>
        </w:rPr>
      </w:pPr>
      <w:r>
        <w:rPr>
          <w:rFonts w:ascii="Times New Roman" w:hAnsi="Times New Roman" w:eastAsia="仿宋_GB2312" w:cs="Times New Roman"/>
          <w:sz w:val="28"/>
          <w:szCs w:val="28"/>
        </w:rPr>
        <w:t>电磁辐射</w:t>
      </w:r>
      <w:bookmarkEnd w:id="24"/>
    </w:p>
    <w:p>
      <w:pPr>
        <w:pStyle w:val="9"/>
        <w:spacing w:line="360" w:lineRule="auto"/>
        <w:ind w:firstLine="560"/>
        <w:rPr>
          <w:rFonts w:ascii="Times New Roman" w:hAnsi="Times New Roman" w:eastAsia="仿宋_GB2312" w:cs="Times New Roman"/>
          <w:sz w:val="28"/>
          <w:szCs w:val="28"/>
        </w:rPr>
      </w:pPr>
      <w:r>
        <w:rPr>
          <w:rFonts w:ascii="Times New Roman" w:hAnsi="Times New Roman" w:eastAsia="仿宋_GB2312" w:cs="Times New Roman"/>
          <w:sz w:val="28"/>
          <w:szCs w:val="28"/>
        </w:rPr>
        <w:t>2021年</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青浦工业园区监测站点工频电场强度年均值为0.192伏/米，工频磁感应强度年均值为0.0108微特斯拉，综合电场强度年均值为0.79伏/米，均符合《电磁环境控制限值》（GB 8702-2014）中相应频段规定的公众曝露控制限值要求。</w:t>
      </w:r>
    </w:p>
    <w:p>
      <w:pPr>
        <w:pStyle w:val="9"/>
        <w:spacing w:line="360" w:lineRule="auto"/>
        <w:ind w:firstLine="560"/>
        <w:rPr>
          <w:rFonts w:ascii="Times New Roman" w:hAnsi="Times New Roman" w:eastAsia="仿宋_GB2312" w:cs="Times New Roman"/>
          <w:sz w:val="28"/>
          <w:szCs w:val="28"/>
        </w:rPr>
      </w:pPr>
      <w:r>
        <w:rPr>
          <w:rFonts w:ascii="Times New Roman" w:hAnsi="Times New Roman" w:eastAsia="仿宋_GB2312" w:cs="Times New Roman"/>
          <w:sz w:val="28"/>
          <w:szCs w:val="28"/>
        </w:rPr>
        <w:t>2021年</w:t>
      </w:r>
      <w:r>
        <w:rPr>
          <w:rFonts w:hint="eastAsia" w:ascii="Times New Roman" w:hAnsi="Times New Roman" w:eastAsia="仿宋_GB2312" w:cs="Times New Roman"/>
          <w:sz w:val="28"/>
          <w:szCs w:val="28"/>
        </w:rPr>
        <w:t>，</w:t>
      </w:r>
      <w:r>
        <w:rPr>
          <w:rFonts w:ascii="Times New Roman" w:hAnsi="Times New Roman" w:eastAsia="仿宋_GB2312" w:cs="Times New Roman"/>
          <w:sz w:val="28"/>
          <w:szCs w:val="28"/>
        </w:rPr>
        <w:t>青浦区生态环境局对随机抽取的23个通信基站进行综合电场强度监督性监测。监测结果表明，通信基站周围电磁辐射环境污染处于较低水平，数值远低于《电磁环境控制限值》（GB 8702－2014）中对应频段的公众照射导出限值12伏/米的要求。</w:t>
      </w:r>
    </w:p>
    <w:p>
      <w:pPr>
        <w:numPr>
          <w:ilvl w:val="0"/>
          <w:numId w:val="3"/>
        </w:numPr>
        <w:spacing w:before="312" w:beforeLines="100" w:after="312" w:afterLines="100"/>
        <w:rPr>
          <w:rFonts w:ascii="黑体" w:hAnsi="黑体" w:eastAsia="黑体" w:cs="黑体"/>
          <w:sz w:val="28"/>
          <w:szCs w:val="28"/>
        </w:rPr>
      </w:pPr>
      <w:r>
        <w:rPr>
          <w:rFonts w:hint="eastAsia" w:ascii="黑体" w:hAnsi="黑体" w:eastAsia="黑体" w:cs="黑体"/>
          <w:sz w:val="28"/>
          <w:szCs w:val="28"/>
        </w:rPr>
        <w:t>生态环境</w:t>
      </w:r>
      <w:bookmarkStart w:id="25" w:name="_Toc66439220"/>
      <w:r>
        <w:rPr>
          <w:rFonts w:hint="eastAsia" w:ascii="黑体" w:hAnsi="黑体" w:eastAsia="黑体" w:cs="黑体"/>
          <w:sz w:val="28"/>
          <w:szCs w:val="28"/>
        </w:rPr>
        <w:t>质量</w:t>
      </w:r>
    </w:p>
    <w:p>
      <w:pPr>
        <w:ind w:firstLine="560" w:firstLineChars="200"/>
        <w:rPr>
          <w:rFonts w:ascii="Times New Roman" w:hAnsi="Times New Roman" w:eastAsia="仿宋_GB2312" w:cs="Times New Roman"/>
          <w:sz w:val="28"/>
          <w:szCs w:val="28"/>
          <w:lang w:val="zh-CN"/>
        </w:rPr>
      </w:pPr>
      <w:r>
        <w:rPr>
          <w:rFonts w:hint="eastAsia" w:ascii="Times New Roman" w:hAnsi="Times New Roman" w:eastAsia="仿宋_GB2312" w:cs="Times New Roman"/>
          <w:sz w:val="28"/>
          <w:szCs w:val="28"/>
        </w:rPr>
        <w:t>青浦区</w:t>
      </w:r>
      <w:r>
        <w:rPr>
          <w:rFonts w:hint="eastAsia" w:ascii="Times New Roman" w:hAnsi="Times New Roman" w:eastAsia="仿宋_GB2312" w:cs="Times New Roman"/>
          <w:sz w:val="28"/>
          <w:szCs w:val="28"/>
          <w:lang w:val="zh-CN"/>
        </w:rPr>
        <w:t>生态环境整体评价良好。</w:t>
      </w:r>
      <w:r>
        <w:rPr>
          <w:rFonts w:hint="eastAsia" w:ascii="Times New Roman" w:hAnsi="Times New Roman" w:eastAsia="仿宋_GB2312" w:cs="Times New Roman"/>
          <w:sz w:val="28"/>
          <w:szCs w:val="28"/>
        </w:rPr>
        <w:t>全</w:t>
      </w:r>
      <w:r>
        <w:rPr>
          <w:rFonts w:hint="eastAsia" w:ascii="Times New Roman" w:hAnsi="Times New Roman" w:eastAsia="仿宋_GB2312" w:cs="Times New Roman"/>
          <w:sz w:val="28"/>
          <w:szCs w:val="28"/>
          <w:lang w:val="zh-CN"/>
        </w:rPr>
        <w:t>区土地利用类型以耕地为主，为247.9km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占36.8%；生态用地与建设用地比为2.2，与上年度无明显变化。2020年，青浦区生态环境状况指数（EI）为64.6，评价为“良”，高于全市平均62.4。2021年，淀山湖全湖综合营养状态指数（TLI）为58.9，评价为“轻度-富营养”，评价类别与2020年相同。2020年，青浦区农村环境状况指数为86.9，评价为“良”；农村生态状况指数为63.0，评价为“良”；农村环境综合质量指数为77.4，评价为“良”。</w:t>
      </w:r>
    </w:p>
    <w:p>
      <w:pPr>
        <w:ind w:firstLine="560" w:firstLineChars="200"/>
        <w:rPr>
          <w:rFonts w:ascii="Times New Roman" w:hAnsi="Times New Roman" w:eastAsia="仿宋_GB2312" w:cs="Times New Roman"/>
          <w:sz w:val="28"/>
          <w:szCs w:val="32"/>
        </w:rPr>
      </w:pPr>
      <w:r>
        <w:rPr>
          <w:rFonts w:hint="eastAsia" w:ascii="Times New Roman" w:hAnsi="Times New Roman" w:eastAsia="仿宋_GB2312" w:cs="Times New Roman"/>
          <w:sz w:val="28"/>
          <w:szCs w:val="32"/>
        </w:rPr>
        <w:t>1.</w:t>
      </w:r>
      <w:r>
        <w:rPr>
          <w:rFonts w:ascii="Times New Roman" w:hAnsi="Times New Roman" w:eastAsia="仿宋_GB2312" w:cs="Times New Roman"/>
          <w:sz w:val="28"/>
          <w:szCs w:val="32"/>
        </w:rPr>
        <w:t>土地利用状况</w:t>
      </w:r>
      <w:bookmarkEnd w:id="25"/>
    </w:p>
    <w:p>
      <w:pPr>
        <w:ind w:firstLine="560" w:firstLineChars="200"/>
        <w:rPr>
          <w:rFonts w:ascii="Times New Roman" w:hAnsi="Times New Roman" w:eastAsia="仿宋_GB2312" w:cs="Times New Roman"/>
          <w:sz w:val="28"/>
          <w:szCs w:val="28"/>
          <w:lang w:val="zh-CN"/>
        </w:rPr>
      </w:pPr>
      <w:bookmarkStart w:id="26" w:name="_Toc66439221"/>
      <w:r>
        <w:rPr>
          <w:rFonts w:hint="eastAsia" w:ascii="Times New Roman" w:hAnsi="Times New Roman" w:eastAsia="仿宋_GB2312" w:cs="Times New Roman"/>
          <w:sz w:val="28"/>
          <w:szCs w:val="28"/>
          <w:lang w:val="zh-CN"/>
        </w:rPr>
        <w:t>2020年，青浦区解译区域总面积为673.2km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，主要包括11个土地利用类型（表1）。其中耕地面积最大为247.9km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，占36.8%；其次是其它建设用地为104.9km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，占15.6%，城镇建设用地67.9km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，湖泊65.1km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，河流49.5km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，坑塘49.0km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，有林地39.2km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，农村居民用地36.9km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，草地9.5km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，其它林地3.3km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，滩涂0.0km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，分别占10.1%，9.7%，7.4%，7.3%，5.8%，5.5%、1.4%、0.5%和0.0%。</w:t>
      </w:r>
    </w:p>
    <w:p>
      <w:pPr>
        <w:ind w:firstLine="560" w:firstLineChars="200"/>
        <w:rPr>
          <w:rFonts w:ascii="Times New Roman" w:hAnsi="Times New Roman" w:eastAsia="仿宋_GB2312" w:cs="Times New Roman"/>
          <w:sz w:val="28"/>
          <w:szCs w:val="28"/>
          <w:lang w:val="zh-CN"/>
        </w:rPr>
      </w:pPr>
      <w:r>
        <w:rPr>
          <w:rFonts w:hint="eastAsia" w:ascii="Times New Roman" w:hAnsi="Times New Roman" w:eastAsia="仿宋_GB2312" w:cs="Times New Roman"/>
          <w:sz w:val="28"/>
          <w:szCs w:val="28"/>
          <w:lang w:val="zh-CN"/>
        </w:rPr>
        <w:t>2021年，青浦区生态用地463.5km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，占68.9%；建设用地209.7km</w:t>
      </w:r>
      <w:r>
        <w:rPr>
          <w:rFonts w:hint="eastAsia" w:ascii="Times New Roman" w:hAnsi="Times New Roman" w:eastAsia="仿宋_GB2312" w:cs="Times New Roman"/>
          <w:sz w:val="28"/>
          <w:szCs w:val="28"/>
          <w:vertAlign w:val="superscript"/>
          <w:lang w:val="zh-CN"/>
        </w:rPr>
        <w:t>2</w:t>
      </w:r>
      <w:r>
        <w:rPr>
          <w:rFonts w:hint="eastAsia" w:ascii="Times New Roman" w:hAnsi="Times New Roman" w:eastAsia="仿宋_GB2312" w:cs="Times New Roman"/>
          <w:sz w:val="28"/>
          <w:szCs w:val="28"/>
          <w:lang w:val="zh-CN"/>
        </w:rPr>
        <w:t>，占31.1%；生态用地/建设用地比为2.2。与上一年相比，全区生态用地/建设用地比值无变化。</w:t>
      </w:r>
    </w:p>
    <w:p>
      <w:pPr>
        <w:pStyle w:val="2"/>
        <w:rPr>
          <w:lang w:val="zh-CN"/>
        </w:rPr>
      </w:pPr>
    </w:p>
    <w:p>
      <w:pPr>
        <w:spacing w:before="312" w:beforeLines="100"/>
        <w:jc w:val="center"/>
        <w:rPr>
          <w:rFonts w:ascii="宋体" w:hAnsi="宋体" w:cs="宋体"/>
          <w:b/>
          <w:sz w:val="22"/>
          <w:szCs w:val="22"/>
        </w:rPr>
      </w:pPr>
      <w:r>
        <w:rPr>
          <w:rFonts w:hint="eastAsia" w:ascii="宋体" w:hAnsi="宋体" w:cs="宋体"/>
          <w:b/>
          <w:sz w:val="22"/>
          <w:szCs w:val="22"/>
        </w:rPr>
        <w:t>表1   20</w:t>
      </w:r>
      <w:r>
        <w:rPr>
          <w:rFonts w:ascii="宋体" w:hAnsi="宋体" w:cs="宋体"/>
          <w:b/>
          <w:sz w:val="22"/>
          <w:szCs w:val="22"/>
        </w:rPr>
        <w:t>20</w:t>
      </w:r>
      <w:r>
        <w:rPr>
          <w:rFonts w:hint="eastAsia" w:ascii="宋体" w:hAnsi="宋体" w:cs="宋体"/>
          <w:b/>
          <w:sz w:val="22"/>
          <w:szCs w:val="22"/>
        </w:rPr>
        <w:t>-202</w:t>
      </w:r>
      <w:r>
        <w:rPr>
          <w:rFonts w:ascii="宋体" w:hAnsi="宋体" w:cs="宋体"/>
          <w:b/>
          <w:sz w:val="22"/>
          <w:szCs w:val="22"/>
        </w:rPr>
        <w:t>1</w:t>
      </w:r>
      <w:r>
        <w:rPr>
          <w:rFonts w:hint="eastAsia" w:ascii="宋体" w:hAnsi="宋体" w:cs="宋体"/>
          <w:b/>
          <w:sz w:val="22"/>
          <w:szCs w:val="22"/>
        </w:rPr>
        <w:t>年青浦区各类型土地利用情况</w:t>
      </w:r>
    </w:p>
    <w:tbl>
      <w:tblPr>
        <w:tblStyle w:val="7"/>
        <w:tblW w:w="9593" w:type="dxa"/>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55"/>
        <w:gridCol w:w="820"/>
        <w:gridCol w:w="814"/>
        <w:gridCol w:w="1150"/>
        <w:gridCol w:w="625"/>
        <w:gridCol w:w="659"/>
        <w:gridCol w:w="659"/>
        <w:gridCol w:w="659"/>
        <w:gridCol w:w="837"/>
        <w:gridCol w:w="983"/>
        <w:gridCol w:w="814"/>
        <w:gridCol w:w="918"/>
      </w:tblGrid>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jc w:val="center"/>
        </w:trPr>
        <w:tc>
          <w:tcPr>
            <w:tcW w:w="655" w:type="dxa"/>
            <w:tcBorders>
              <w:top w:val="single" w:color="auto" w:sz="12" w:space="0"/>
              <w:bottom w:val="single" w:color="auto" w:sz="2" w:space="0"/>
            </w:tcBorders>
            <w:noWrap/>
            <w:vAlign w:val="center"/>
          </w:tcPr>
          <w:p>
            <w:pPr>
              <w:widowControl/>
              <w:jc w:val="left"/>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年份</w:t>
            </w:r>
          </w:p>
        </w:tc>
        <w:tc>
          <w:tcPr>
            <w:tcW w:w="820" w:type="dxa"/>
            <w:tcBorders>
              <w:top w:val="single" w:color="auto" w:sz="12" w:space="0"/>
              <w:bottom w:val="single" w:color="auto" w:sz="2" w:space="0"/>
            </w:tcBorders>
            <w:noWrap/>
            <w:vAlign w:val="center"/>
          </w:tcPr>
          <w:p>
            <w:pPr>
              <w:widowControl/>
              <w:jc w:val="center"/>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耕地</w:t>
            </w:r>
          </w:p>
        </w:tc>
        <w:tc>
          <w:tcPr>
            <w:tcW w:w="814" w:type="dxa"/>
            <w:tcBorders>
              <w:top w:val="single" w:color="auto" w:sz="12" w:space="0"/>
              <w:bottom w:val="single" w:color="auto" w:sz="2" w:space="0"/>
            </w:tcBorders>
            <w:noWrap/>
            <w:vAlign w:val="center"/>
          </w:tcPr>
          <w:p>
            <w:pPr>
              <w:widowControl/>
              <w:jc w:val="center"/>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有林地</w:t>
            </w:r>
          </w:p>
        </w:tc>
        <w:tc>
          <w:tcPr>
            <w:tcW w:w="1150" w:type="dxa"/>
            <w:tcBorders>
              <w:top w:val="single" w:color="auto" w:sz="12" w:space="0"/>
              <w:bottom w:val="single" w:color="auto" w:sz="2" w:space="0"/>
            </w:tcBorders>
            <w:noWrap/>
            <w:vAlign w:val="center"/>
          </w:tcPr>
          <w:p>
            <w:pPr>
              <w:widowControl/>
              <w:jc w:val="center"/>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其他林地</w:t>
            </w:r>
          </w:p>
        </w:tc>
        <w:tc>
          <w:tcPr>
            <w:tcW w:w="625" w:type="dxa"/>
            <w:tcBorders>
              <w:top w:val="single" w:color="auto" w:sz="12" w:space="0"/>
              <w:bottom w:val="single" w:color="auto" w:sz="2" w:space="0"/>
            </w:tcBorders>
            <w:noWrap/>
            <w:vAlign w:val="center"/>
          </w:tcPr>
          <w:p>
            <w:pPr>
              <w:widowControl/>
              <w:jc w:val="center"/>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草地</w:t>
            </w:r>
          </w:p>
        </w:tc>
        <w:tc>
          <w:tcPr>
            <w:tcW w:w="659" w:type="dxa"/>
            <w:tcBorders>
              <w:top w:val="single" w:color="auto" w:sz="12" w:space="0"/>
              <w:bottom w:val="single" w:color="auto" w:sz="2" w:space="0"/>
            </w:tcBorders>
            <w:noWrap/>
            <w:vAlign w:val="center"/>
          </w:tcPr>
          <w:p>
            <w:pPr>
              <w:widowControl/>
              <w:jc w:val="center"/>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河流</w:t>
            </w:r>
          </w:p>
        </w:tc>
        <w:tc>
          <w:tcPr>
            <w:tcW w:w="659" w:type="dxa"/>
            <w:tcBorders>
              <w:top w:val="single" w:color="auto" w:sz="12" w:space="0"/>
              <w:bottom w:val="single" w:color="auto" w:sz="2" w:space="0"/>
            </w:tcBorders>
            <w:noWrap/>
            <w:vAlign w:val="center"/>
          </w:tcPr>
          <w:p>
            <w:pPr>
              <w:widowControl/>
              <w:jc w:val="center"/>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湖泊</w:t>
            </w:r>
          </w:p>
        </w:tc>
        <w:tc>
          <w:tcPr>
            <w:tcW w:w="659" w:type="dxa"/>
            <w:tcBorders>
              <w:top w:val="single" w:color="auto" w:sz="12" w:space="0"/>
              <w:bottom w:val="single" w:color="auto" w:sz="2" w:space="0"/>
            </w:tcBorders>
            <w:noWrap/>
            <w:vAlign w:val="center"/>
          </w:tcPr>
          <w:p>
            <w:pPr>
              <w:widowControl/>
              <w:jc w:val="center"/>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坑塘</w:t>
            </w:r>
          </w:p>
        </w:tc>
        <w:tc>
          <w:tcPr>
            <w:tcW w:w="837" w:type="dxa"/>
            <w:tcBorders>
              <w:top w:val="single" w:color="auto" w:sz="12" w:space="0"/>
              <w:bottom w:val="single" w:color="auto" w:sz="2" w:space="0"/>
            </w:tcBorders>
            <w:noWrap/>
            <w:vAlign w:val="center"/>
          </w:tcPr>
          <w:p>
            <w:pPr>
              <w:widowControl/>
              <w:jc w:val="center"/>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滩涂</w:t>
            </w:r>
          </w:p>
        </w:tc>
        <w:tc>
          <w:tcPr>
            <w:tcW w:w="983" w:type="dxa"/>
            <w:tcBorders>
              <w:top w:val="single" w:color="auto" w:sz="12" w:space="0"/>
              <w:bottom w:val="single" w:color="auto" w:sz="2" w:space="0"/>
            </w:tcBorders>
            <w:noWrap/>
            <w:vAlign w:val="center"/>
          </w:tcPr>
          <w:p>
            <w:pPr>
              <w:widowControl/>
              <w:jc w:val="center"/>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城镇建设用地</w:t>
            </w:r>
          </w:p>
        </w:tc>
        <w:tc>
          <w:tcPr>
            <w:tcW w:w="814" w:type="dxa"/>
            <w:tcBorders>
              <w:top w:val="single" w:color="auto" w:sz="12" w:space="0"/>
              <w:bottom w:val="single" w:color="auto" w:sz="2" w:space="0"/>
            </w:tcBorders>
            <w:noWrap/>
            <w:vAlign w:val="center"/>
          </w:tcPr>
          <w:p>
            <w:pPr>
              <w:widowControl/>
              <w:jc w:val="center"/>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农村居民用地</w:t>
            </w:r>
          </w:p>
        </w:tc>
        <w:tc>
          <w:tcPr>
            <w:tcW w:w="918" w:type="dxa"/>
            <w:tcBorders>
              <w:top w:val="single" w:color="auto" w:sz="12" w:space="0"/>
              <w:bottom w:val="single" w:color="auto" w:sz="2" w:space="0"/>
            </w:tcBorders>
            <w:noWrap/>
            <w:vAlign w:val="center"/>
          </w:tcPr>
          <w:p>
            <w:pPr>
              <w:widowControl/>
              <w:jc w:val="center"/>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其他建设用地</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7" w:hRule="atLeast"/>
          <w:jc w:val="center"/>
        </w:trPr>
        <w:tc>
          <w:tcPr>
            <w:tcW w:w="655" w:type="dxa"/>
            <w:noWrap/>
            <w:vAlign w:val="center"/>
          </w:tcPr>
          <w:p>
            <w:pPr>
              <w:widowControl/>
              <w:jc w:val="left"/>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2</w:t>
            </w:r>
            <w:r>
              <w:rPr>
                <w:rFonts w:ascii="Times New Roman" w:hAnsi="Times New Roman" w:cs="宋体"/>
                <w:b/>
                <w:bCs/>
                <w:color w:val="000000"/>
                <w:kern w:val="0"/>
                <w:sz w:val="18"/>
                <w:szCs w:val="20"/>
              </w:rPr>
              <w:t>020</w:t>
            </w:r>
          </w:p>
        </w:tc>
        <w:tc>
          <w:tcPr>
            <w:tcW w:w="820"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245.9</w:t>
            </w:r>
          </w:p>
        </w:tc>
        <w:tc>
          <w:tcPr>
            <w:tcW w:w="814"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38.5</w:t>
            </w:r>
          </w:p>
        </w:tc>
        <w:tc>
          <w:tcPr>
            <w:tcW w:w="1150"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3.3</w:t>
            </w:r>
          </w:p>
        </w:tc>
        <w:tc>
          <w:tcPr>
            <w:tcW w:w="625"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8.9</w:t>
            </w:r>
          </w:p>
        </w:tc>
        <w:tc>
          <w:tcPr>
            <w:tcW w:w="659"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48.8</w:t>
            </w:r>
          </w:p>
        </w:tc>
        <w:tc>
          <w:tcPr>
            <w:tcW w:w="659"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64.3</w:t>
            </w:r>
          </w:p>
        </w:tc>
        <w:tc>
          <w:tcPr>
            <w:tcW w:w="659"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50.0</w:t>
            </w:r>
          </w:p>
        </w:tc>
        <w:tc>
          <w:tcPr>
            <w:tcW w:w="837"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0.0</w:t>
            </w:r>
          </w:p>
        </w:tc>
        <w:tc>
          <w:tcPr>
            <w:tcW w:w="983"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65.7</w:t>
            </w:r>
          </w:p>
        </w:tc>
        <w:tc>
          <w:tcPr>
            <w:tcW w:w="814"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37.0</w:t>
            </w:r>
          </w:p>
        </w:tc>
        <w:tc>
          <w:tcPr>
            <w:tcW w:w="918"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106.4</w:t>
            </w:r>
          </w:p>
        </w:tc>
      </w:tr>
      <w:tr>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55" w:type="dxa"/>
            <w:noWrap/>
            <w:vAlign w:val="center"/>
          </w:tcPr>
          <w:p>
            <w:pPr>
              <w:widowControl/>
              <w:jc w:val="left"/>
              <w:rPr>
                <w:rFonts w:ascii="Times New Roman" w:hAnsi="Times New Roman" w:cs="宋体"/>
                <w:b/>
                <w:bCs/>
                <w:color w:val="000000"/>
                <w:kern w:val="0"/>
                <w:sz w:val="18"/>
                <w:szCs w:val="20"/>
              </w:rPr>
            </w:pPr>
            <w:r>
              <w:rPr>
                <w:rFonts w:hint="eastAsia" w:ascii="Times New Roman" w:hAnsi="Times New Roman" w:cs="宋体"/>
                <w:b/>
                <w:bCs/>
                <w:color w:val="000000"/>
                <w:kern w:val="0"/>
                <w:sz w:val="18"/>
                <w:szCs w:val="20"/>
              </w:rPr>
              <w:t>202</w:t>
            </w:r>
            <w:r>
              <w:rPr>
                <w:rFonts w:ascii="Times New Roman" w:hAnsi="Times New Roman" w:cs="宋体"/>
                <w:b/>
                <w:bCs/>
                <w:color w:val="000000"/>
                <w:kern w:val="0"/>
                <w:sz w:val="18"/>
                <w:szCs w:val="20"/>
              </w:rPr>
              <w:t>1</w:t>
            </w:r>
          </w:p>
        </w:tc>
        <w:tc>
          <w:tcPr>
            <w:tcW w:w="820"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24</w:t>
            </w:r>
            <w:r>
              <w:rPr>
                <w:rFonts w:ascii="Times New Roman" w:hAnsi="Times New Roman" w:cs="宋体"/>
                <w:color w:val="000000"/>
                <w:kern w:val="0"/>
                <w:sz w:val="18"/>
                <w:szCs w:val="20"/>
              </w:rPr>
              <w:t>7</w:t>
            </w:r>
            <w:r>
              <w:rPr>
                <w:rFonts w:hint="eastAsia" w:ascii="Times New Roman" w:hAnsi="Times New Roman" w:cs="宋体"/>
                <w:color w:val="000000"/>
                <w:kern w:val="0"/>
                <w:sz w:val="18"/>
                <w:szCs w:val="20"/>
              </w:rPr>
              <w:t>.9</w:t>
            </w:r>
          </w:p>
        </w:tc>
        <w:tc>
          <w:tcPr>
            <w:tcW w:w="814"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3</w:t>
            </w:r>
            <w:r>
              <w:rPr>
                <w:rFonts w:ascii="Times New Roman" w:hAnsi="Times New Roman" w:cs="宋体"/>
                <w:color w:val="000000"/>
                <w:kern w:val="0"/>
                <w:sz w:val="18"/>
                <w:szCs w:val="20"/>
              </w:rPr>
              <w:t>9.2</w:t>
            </w:r>
          </w:p>
        </w:tc>
        <w:tc>
          <w:tcPr>
            <w:tcW w:w="1150"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3.3</w:t>
            </w:r>
          </w:p>
        </w:tc>
        <w:tc>
          <w:tcPr>
            <w:tcW w:w="625" w:type="dxa"/>
            <w:noWrap/>
            <w:vAlign w:val="center"/>
          </w:tcPr>
          <w:p>
            <w:pPr>
              <w:widowControl/>
              <w:jc w:val="center"/>
              <w:rPr>
                <w:rFonts w:ascii="Times New Roman" w:hAnsi="Times New Roman" w:cs="宋体"/>
                <w:color w:val="000000"/>
                <w:kern w:val="0"/>
                <w:sz w:val="18"/>
                <w:szCs w:val="20"/>
              </w:rPr>
            </w:pPr>
            <w:r>
              <w:rPr>
                <w:rFonts w:ascii="Times New Roman" w:hAnsi="Times New Roman" w:cs="宋体"/>
                <w:color w:val="000000"/>
                <w:kern w:val="0"/>
                <w:sz w:val="18"/>
                <w:szCs w:val="20"/>
              </w:rPr>
              <w:t>9.5</w:t>
            </w:r>
          </w:p>
        </w:tc>
        <w:tc>
          <w:tcPr>
            <w:tcW w:w="659"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4</w:t>
            </w:r>
            <w:r>
              <w:rPr>
                <w:rFonts w:ascii="Times New Roman" w:hAnsi="Times New Roman" w:cs="宋体"/>
                <w:color w:val="000000"/>
                <w:kern w:val="0"/>
                <w:sz w:val="18"/>
                <w:szCs w:val="20"/>
              </w:rPr>
              <w:t>9.5</w:t>
            </w:r>
          </w:p>
        </w:tc>
        <w:tc>
          <w:tcPr>
            <w:tcW w:w="659"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6</w:t>
            </w:r>
            <w:r>
              <w:rPr>
                <w:rFonts w:ascii="Times New Roman" w:hAnsi="Times New Roman" w:cs="宋体"/>
                <w:color w:val="000000"/>
                <w:kern w:val="0"/>
                <w:sz w:val="18"/>
                <w:szCs w:val="20"/>
              </w:rPr>
              <w:t>5.1</w:t>
            </w:r>
          </w:p>
        </w:tc>
        <w:tc>
          <w:tcPr>
            <w:tcW w:w="659" w:type="dxa"/>
            <w:noWrap/>
            <w:vAlign w:val="center"/>
          </w:tcPr>
          <w:p>
            <w:pPr>
              <w:widowControl/>
              <w:jc w:val="center"/>
              <w:rPr>
                <w:rFonts w:ascii="Times New Roman" w:hAnsi="Times New Roman" w:cs="宋体"/>
                <w:color w:val="000000"/>
                <w:kern w:val="0"/>
                <w:sz w:val="18"/>
                <w:szCs w:val="20"/>
              </w:rPr>
            </w:pPr>
            <w:r>
              <w:rPr>
                <w:rFonts w:ascii="Times New Roman" w:hAnsi="Times New Roman" w:cs="宋体"/>
                <w:color w:val="000000"/>
                <w:kern w:val="0"/>
                <w:sz w:val="18"/>
                <w:szCs w:val="20"/>
              </w:rPr>
              <w:t>49</w:t>
            </w:r>
            <w:r>
              <w:rPr>
                <w:rFonts w:hint="eastAsia" w:ascii="Times New Roman" w:hAnsi="Times New Roman" w:cs="宋体"/>
                <w:color w:val="000000"/>
                <w:kern w:val="0"/>
                <w:sz w:val="18"/>
                <w:szCs w:val="20"/>
              </w:rPr>
              <w:t>.0</w:t>
            </w:r>
          </w:p>
        </w:tc>
        <w:tc>
          <w:tcPr>
            <w:tcW w:w="837"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0.0</w:t>
            </w:r>
          </w:p>
        </w:tc>
        <w:tc>
          <w:tcPr>
            <w:tcW w:w="983"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6</w:t>
            </w:r>
            <w:r>
              <w:rPr>
                <w:rFonts w:ascii="Times New Roman" w:hAnsi="Times New Roman" w:cs="宋体"/>
                <w:color w:val="000000"/>
                <w:kern w:val="0"/>
                <w:sz w:val="18"/>
                <w:szCs w:val="20"/>
              </w:rPr>
              <w:t>7.9</w:t>
            </w:r>
          </w:p>
        </w:tc>
        <w:tc>
          <w:tcPr>
            <w:tcW w:w="814"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3</w:t>
            </w:r>
            <w:r>
              <w:rPr>
                <w:rFonts w:ascii="Times New Roman" w:hAnsi="Times New Roman" w:cs="宋体"/>
                <w:color w:val="000000"/>
                <w:kern w:val="0"/>
                <w:sz w:val="18"/>
                <w:szCs w:val="20"/>
              </w:rPr>
              <w:t>6.9</w:t>
            </w:r>
          </w:p>
        </w:tc>
        <w:tc>
          <w:tcPr>
            <w:tcW w:w="918" w:type="dxa"/>
            <w:noWrap/>
            <w:vAlign w:val="center"/>
          </w:tcPr>
          <w:p>
            <w:pPr>
              <w:widowControl/>
              <w:jc w:val="center"/>
              <w:rPr>
                <w:rFonts w:ascii="Times New Roman" w:hAnsi="Times New Roman" w:cs="宋体"/>
                <w:color w:val="000000"/>
                <w:kern w:val="0"/>
                <w:sz w:val="18"/>
                <w:szCs w:val="20"/>
              </w:rPr>
            </w:pPr>
            <w:r>
              <w:rPr>
                <w:rFonts w:hint="eastAsia" w:ascii="Times New Roman" w:hAnsi="Times New Roman" w:cs="宋体"/>
                <w:color w:val="000000"/>
                <w:kern w:val="0"/>
                <w:sz w:val="18"/>
                <w:szCs w:val="20"/>
              </w:rPr>
              <w:t>10</w:t>
            </w:r>
            <w:r>
              <w:rPr>
                <w:rFonts w:ascii="Times New Roman" w:hAnsi="Times New Roman" w:cs="宋体"/>
                <w:color w:val="000000"/>
                <w:kern w:val="0"/>
                <w:sz w:val="18"/>
                <w:szCs w:val="20"/>
              </w:rPr>
              <w:t>4.9</w:t>
            </w:r>
          </w:p>
        </w:tc>
      </w:tr>
    </w:tbl>
    <w:p>
      <w:pPr>
        <w:spacing w:before="312" w:beforeLines="100"/>
        <w:ind w:firstLine="560" w:firstLineChars="200"/>
        <w:rPr>
          <w:rFonts w:ascii="Times New Roman" w:hAnsi="Times New Roman" w:eastAsia="仿宋_GB2312" w:cs="Times New Roman"/>
          <w:sz w:val="28"/>
          <w:szCs w:val="32"/>
        </w:rPr>
      </w:pPr>
      <w:r>
        <w:rPr>
          <w:rFonts w:hint="eastAsia" w:ascii="Times New Roman" w:hAnsi="Times New Roman" w:eastAsia="仿宋_GB2312" w:cs="Times New Roman"/>
          <w:sz w:val="28"/>
          <w:szCs w:val="32"/>
        </w:rPr>
        <w:t>2.全区</w:t>
      </w:r>
      <w:r>
        <w:rPr>
          <w:rFonts w:ascii="Times New Roman" w:hAnsi="Times New Roman" w:eastAsia="仿宋_GB2312" w:cs="Times New Roman"/>
          <w:sz w:val="28"/>
          <w:szCs w:val="32"/>
        </w:rPr>
        <w:t>生态</w:t>
      </w:r>
      <w:r>
        <w:rPr>
          <w:rFonts w:hint="eastAsia" w:ascii="Times New Roman" w:hAnsi="Times New Roman" w:eastAsia="仿宋_GB2312" w:cs="Times New Roman"/>
          <w:sz w:val="28"/>
          <w:szCs w:val="32"/>
        </w:rPr>
        <w:t>状况指数</w:t>
      </w:r>
      <w:bookmarkEnd w:id="26"/>
    </w:p>
    <w:p>
      <w:pPr>
        <w:ind w:firstLine="560" w:firstLineChars="200"/>
        <w:rPr>
          <w:rFonts w:ascii="Times New Roman" w:hAnsi="Times New Roman" w:eastAsia="仿宋_GB2312" w:cs="Times New Roman"/>
          <w:sz w:val="28"/>
          <w:szCs w:val="28"/>
          <w:lang w:val="zh-CN"/>
        </w:rPr>
      </w:pPr>
      <w:bookmarkStart w:id="27" w:name="_Toc66439222"/>
      <w:r>
        <w:rPr>
          <w:rFonts w:hint="eastAsia" w:ascii="Times New Roman" w:hAnsi="Times New Roman" w:eastAsia="仿宋_GB2312" w:cs="Times New Roman"/>
          <w:sz w:val="28"/>
          <w:szCs w:val="28"/>
          <w:lang w:val="zh-CN"/>
        </w:rPr>
        <w:t>2020年，青浦区生态环境整体评价良好。生物丰度指数为30.0，植被覆盖指数为65.2，水网密布指数为100，土地胁迫指数为14.8，污染负荷指数为0.1，生态环境状况指数（EI）为64.6，评价为“良”，高于全市平均（62.4），仅次于崇明区和金山区（图28）。与上年度相比，生态状况变化度（ΔEI）为0.2，评价为“无明显变化”。</w:t>
      </w:r>
    </w:p>
    <w:p>
      <w:pPr>
        <w:spacing w:before="312" w:beforeLines="100" w:after="312" w:afterLines="100"/>
        <w:ind w:firstLine="560" w:firstLineChars="200"/>
        <w:rPr>
          <w:rFonts w:ascii="Times New Roman" w:hAnsi="Times New Roman" w:eastAsia="仿宋_GB2312" w:cs="Times New Roman"/>
          <w:sz w:val="28"/>
          <w:szCs w:val="28"/>
          <w:lang w:val="zh-CN"/>
        </w:rPr>
      </w:pPr>
      <w:r>
        <w:rPr>
          <w:rFonts w:hint="eastAsia" w:ascii="Times New Roman" w:hAnsi="Times New Roman" w:eastAsia="仿宋_GB2312" w:cs="Times New Roman"/>
          <w:sz w:val="28"/>
          <w:szCs w:val="28"/>
        </w:rPr>
        <w:drawing>
          <wp:inline distT="0" distB="0" distL="114300" distR="114300">
            <wp:extent cx="4500245" cy="2520315"/>
            <wp:effectExtent l="4445" t="4445" r="6350" b="5080"/>
            <wp:docPr id="92" name="图表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spacing w:after="156" w:afterLines="50"/>
        <w:jc w:val="center"/>
        <w:rPr>
          <w:rFonts w:ascii="宋体" w:hAnsi="宋体" w:cs="宋体"/>
          <w:b/>
          <w:sz w:val="22"/>
          <w:szCs w:val="22"/>
        </w:rPr>
      </w:pPr>
      <w:r>
        <w:rPr>
          <w:rFonts w:hint="eastAsia" w:ascii="宋体" w:hAnsi="宋体" w:cs="宋体"/>
          <w:b/>
          <w:sz w:val="22"/>
          <w:szCs w:val="22"/>
        </w:rPr>
        <w:t>图2</w:t>
      </w:r>
      <w:r>
        <w:rPr>
          <w:rFonts w:ascii="宋体" w:hAnsi="宋体" w:cs="宋体"/>
          <w:b/>
          <w:sz w:val="22"/>
          <w:szCs w:val="22"/>
        </w:rPr>
        <w:t>7</w:t>
      </w:r>
      <w:r>
        <w:rPr>
          <w:rFonts w:hint="eastAsia" w:ascii="宋体" w:hAnsi="宋体" w:cs="宋体"/>
          <w:b/>
          <w:sz w:val="22"/>
          <w:szCs w:val="22"/>
        </w:rPr>
        <w:t xml:space="preserve">  20</w:t>
      </w:r>
      <w:r>
        <w:rPr>
          <w:rFonts w:ascii="宋体" w:hAnsi="宋体" w:cs="宋体"/>
          <w:b/>
          <w:sz w:val="22"/>
          <w:szCs w:val="22"/>
        </w:rPr>
        <w:t>20</w:t>
      </w:r>
      <w:r>
        <w:rPr>
          <w:rFonts w:hint="eastAsia" w:ascii="宋体" w:hAnsi="宋体" w:cs="宋体"/>
          <w:b/>
          <w:sz w:val="22"/>
          <w:szCs w:val="22"/>
        </w:rPr>
        <w:t>年全市各区县域生态环境状况指数对比图</w:t>
      </w:r>
    </w:p>
    <w:p>
      <w:pPr>
        <w:ind w:firstLine="560" w:firstLineChars="200"/>
        <w:rPr>
          <w:rFonts w:ascii="Times New Roman" w:hAnsi="Times New Roman" w:eastAsia="仿宋_GB2312" w:cs="Times New Roman"/>
          <w:sz w:val="28"/>
          <w:szCs w:val="32"/>
        </w:rPr>
      </w:pPr>
      <w:r>
        <w:rPr>
          <w:rFonts w:hint="eastAsia" w:ascii="Times New Roman" w:hAnsi="Times New Roman" w:eastAsia="仿宋_GB2312" w:cs="Times New Roman"/>
          <w:sz w:val="28"/>
          <w:szCs w:val="32"/>
        </w:rPr>
        <w:t>3.农村生态状况指数</w:t>
      </w:r>
      <w:bookmarkEnd w:id="27"/>
    </w:p>
    <w:p>
      <w:pPr>
        <w:ind w:firstLine="560" w:firstLineChars="200"/>
        <w:rPr>
          <w:rFonts w:ascii="Times New Roman" w:hAnsi="Times New Roman" w:eastAsia="仿宋_GB2312" w:cs="Times New Roman"/>
          <w:sz w:val="28"/>
          <w:szCs w:val="28"/>
          <w:lang w:val="zh-CN"/>
        </w:rPr>
      </w:pPr>
      <w:r>
        <w:rPr>
          <w:rFonts w:hint="eastAsia" w:ascii="Times New Roman" w:hAnsi="Times New Roman" w:eastAsia="仿宋_GB2312" w:cs="Times New Roman"/>
          <w:sz w:val="28"/>
          <w:szCs w:val="28"/>
          <w:lang w:val="zh-CN"/>
        </w:rPr>
        <w:t>2021年，按照《农村环境综合评价技术规定》要求，结合《生态环境状况评价技术规定》计算表明，青浦区农村生物丰度指数为28.5，植被覆盖指数为65.7，水网密布指数为100，土地胁迫指数为84.9，人类干扰指数为25.2。2021年，青浦区农村环境状况指数为86.9，评价为“良”，在9个郊区中排第四；农村生态状况指数63.0，评价为“良”，在9个郊区中排第二；农村环境综合质量指数77.4，评价为“良”，在上海市9个郊区中排名第二。</w:t>
      </w:r>
    </w:p>
    <w:p>
      <w:pPr>
        <w:pStyle w:val="2"/>
        <w:rPr>
          <w:rFonts w:ascii="宋体" w:hAnsi="宋体" w:cs="宋体"/>
          <w:b w:val="0"/>
          <w:sz w:val="22"/>
          <w:szCs w:val="22"/>
        </w:rPr>
      </w:pPr>
      <w:r>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4679950" cy="2520315"/>
            <wp:effectExtent l="0" t="0" r="13970" b="9525"/>
            <wp:wrapTopAndBottom/>
            <wp:docPr id="95" name="图表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anchor>
        </w:drawing>
      </w:r>
      <w:r>
        <w:rPr>
          <w:rFonts w:hint="eastAsia" w:ascii="宋体" w:hAnsi="宋体" w:cs="宋体"/>
          <w:sz w:val="22"/>
          <w:szCs w:val="22"/>
        </w:rPr>
        <w:t>图2</w:t>
      </w:r>
      <w:r>
        <w:rPr>
          <w:rFonts w:ascii="宋体" w:hAnsi="宋体" w:cs="宋体"/>
          <w:sz w:val="22"/>
          <w:szCs w:val="22"/>
        </w:rPr>
        <w:t>8</w:t>
      </w:r>
      <w:r>
        <w:rPr>
          <w:rFonts w:hint="eastAsia" w:ascii="宋体" w:hAnsi="宋体" w:cs="宋体"/>
          <w:sz w:val="22"/>
          <w:szCs w:val="22"/>
        </w:rPr>
        <w:t xml:space="preserve">  202</w:t>
      </w:r>
      <w:r>
        <w:rPr>
          <w:rFonts w:ascii="宋体" w:hAnsi="宋体" w:cs="宋体"/>
          <w:sz w:val="22"/>
          <w:szCs w:val="22"/>
        </w:rPr>
        <w:t>1</w:t>
      </w:r>
      <w:r>
        <w:rPr>
          <w:rFonts w:hint="eastAsia" w:ascii="宋体" w:hAnsi="宋体" w:cs="宋体"/>
          <w:sz w:val="22"/>
          <w:szCs w:val="22"/>
        </w:rPr>
        <w:t>年各郊区农村生态环境状况指数对比图</w:t>
      </w:r>
    </w:p>
    <w:p>
      <w:pPr>
        <w:spacing w:before="312" w:beforeLines="100" w:after="312" w:afterLines="100"/>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重点工作</w:t>
      </w:r>
    </w:p>
    <w:p>
      <w:pPr>
        <w:spacing w:before="312" w:beforeLines="100" w:after="312" w:afterLines="100"/>
        <w:ind w:firstLine="560" w:firstLineChars="200"/>
        <w:rPr>
          <w:rFonts w:ascii="黑体" w:hAnsi="黑体" w:eastAsia="黑体" w:cs="黑体"/>
          <w:sz w:val="28"/>
          <w:szCs w:val="28"/>
        </w:rPr>
      </w:pPr>
      <w:r>
        <w:rPr>
          <w:rFonts w:hint="eastAsia" w:ascii="黑体" w:hAnsi="黑体" w:eastAsia="黑体" w:cs="黑体"/>
          <w:sz w:val="28"/>
          <w:szCs w:val="28"/>
        </w:rPr>
        <w:t>一、污染防治攻坚战</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1.</w:t>
      </w:r>
      <w:r>
        <w:rPr>
          <w:rFonts w:ascii="Times New Roman" w:hAnsi="Times New Roman" w:eastAsia="仿宋_GB2312" w:cs="Times New Roman"/>
          <w:sz w:val="28"/>
          <w:szCs w:val="28"/>
        </w:rPr>
        <w:t>环保三年行动计划</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编制完成《青浦区2021-2023年生态环境保护和建设三年行动计划》，明确生态环境保护工作未来三年的实施项目，全面启动86项管理类和工程类项目。</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2.大气</w:t>
      </w:r>
      <w:r>
        <w:rPr>
          <w:rFonts w:ascii="Times New Roman" w:hAnsi="Times New Roman" w:eastAsia="仿宋_GB2312" w:cs="Times New Roman"/>
          <w:sz w:val="28"/>
          <w:szCs w:val="28"/>
        </w:rPr>
        <w:t>污染防治</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应对重污染天气方面。开展2021年空气质量改善专项攻坚，持续改善秋冬季环境空气质量，全力保障第四届进博会环境空气质量。</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工业污染控制方面。优化产业调整实施清洁生产，完成年度产业结构调整任务及新一轮工业挥发性有机物（VOCs）深化治理148家。加快引导工业企业实施清洁生产改造、绿色制造体系建设。</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流动源污染控制方面。加强重型柴油车和非道路移动机械的执法监管。完成机动车环保检验机构全覆盖检查。持续开展油品专项执法检查。</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面源污染控制方面。强化扬尘管控，推进扬尘在线监测，落实扬尘设备拆除、移机备案制度。全区道路、建筑工地、混凝土搅拌站、码头堆场扬尘浓度均同比有所下降。加大餐饮油烟违法排污整治力度。</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3.水</w:t>
      </w:r>
      <w:r>
        <w:rPr>
          <w:rFonts w:ascii="Times New Roman" w:hAnsi="Times New Roman" w:eastAsia="仿宋_GB2312" w:cs="Times New Roman"/>
          <w:sz w:val="28"/>
          <w:szCs w:val="28"/>
        </w:rPr>
        <w:t>污染防治</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保障饮用水源地安全。通过水源保护区卫星遥感监测，开展环境问题排查整治，推进水源地规范化建设。加强淀山湖蓝藻水华防控，多方位开展预警监测。开展水源地区划调整工作。</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陆域污染协同治理。完成太浦河及沿线支流2公里范围入河排污口排查，启动全区入河口排污口“查、测、溯、治”工作。完成涉一类污染物排放企业分质分道等重金属污染物治理整改。进一步加强城镇污水厂监管，全区城镇污水处理厂尾水基本达标排放。</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巩固黑臭水体治理成效。推进农村厕所革命，全面消除农村黑臭水体，农污覆盖率达95%以上。完成150万平米小区混接改造，开展已整治混接点位“回头看”。大力开展餐饮活动违法排污综合整治。持续推进农污处理纳管。超额完成年度12.9公里骨干河道和54.8公里中小河道整治任务。</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长江保护修复攻坚战。积极落实长江“十年禁渔”规定及内陆水域禁渔期管理制度，开展“青雷护渔”全区性打击非法捕捞执法行动，共查处行政处罚案件87起，罚款15.04万元。建立警渔联动机制，刑事追诉非法捕捞情节严重的案件52起。</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4.</w:t>
      </w:r>
      <w:r>
        <w:rPr>
          <w:rFonts w:ascii="Times New Roman" w:hAnsi="Times New Roman" w:eastAsia="仿宋_GB2312" w:cs="Times New Roman"/>
          <w:sz w:val="28"/>
          <w:szCs w:val="28"/>
        </w:rPr>
        <w:t>土壤污染防治</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农业农村污染防治方面。实施化肥农药减量增效和农膜回收行动。持续推进美丽乡村建设，统筹打造四大乡村振兴示范片区，全面改善农村人居环境。</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农用地土壤污染防治和安全利用方面。实施农用地土壤重金属污染源头防治。依法推行农用地分类管理制度，开展拟复垦为耕地地块土壤环境调查工作，确保耕地安全利用率100%。</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建设用地土壤污染风险管控方面。实施建设用地全生命周期管理。强化建设用地储备、出让、收回、续期等环节的场地环境调查评估和治理修复的监督管理，完成75幅出让地块土壤污染状况调查报告评审工作。严格建设用地土壤污染风险管控和修复名录内地块的准入管理，落实关闭企业土壤污染状况调查工作。</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完善固体废物监管体系。严格落实新《固废法》，开展全区一般工业固废专项整治工作，有效落实跨省转移利用备案制度。落实危险废物专项整治三年行动整治方案，加强危险废物全过程信息化监管，基本实现危险废物监管全覆盖。持续完善本区小型医疗机构医疗废物集中收运处置体系。完成污泥干化焚烧项目建设，区再生建材利用中心项目投入试运营。</w:t>
      </w:r>
    </w:p>
    <w:p>
      <w:pPr>
        <w:spacing w:before="312" w:beforeLines="100" w:after="312" w:afterLines="100"/>
        <w:ind w:firstLine="560" w:firstLineChars="200"/>
        <w:rPr>
          <w:rFonts w:ascii="黑体" w:hAnsi="黑体" w:eastAsia="黑体" w:cs="黑体"/>
          <w:sz w:val="28"/>
          <w:szCs w:val="28"/>
        </w:rPr>
      </w:pPr>
      <w:r>
        <w:rPr>
          <w:rFonts w:hint="eastAsia" w:ascii="黑体" w:hAnsi="黑体" w:eastAsia="黑体" w:cs="黑体"/>
          <w:sz w:val="28"/>
          <w:szCs w:val="28"/>
        </w:rPr>
        <w:t>二、生态文明体制改革</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1.主要工作</w:t>
      </w:r>
      <w:r>
        <w:rPr>
          <w:rFonts w:ascii="Times New Roman" w:hAnsi="Times New Roman" w:eastAsia="仿宋_GB2312" w:cs="Times New Roman"/>
          <w:sz w:val="28"/>
          <w:szCs w:val="28"/>
        </w:rPr>
        <w:t>进展</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完成青浦国家生态文明建范区创建。全面启动“绿水青山就是金山银山”实践创新基地（以下简称“两山”基地）建设，完成青浦区“两山”基地建设规划和实施方案。编制完成《青浦区“十四五”时期生态环境保护规划》。</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生态环境保护督察</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全面落实两轮中央及市级环保督察和市级环保督察“回头看”的问题整改。四轮督察37项整改任务已完成36项，其余1项按计划推进中。</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全面完成全国人大《固废法》落实情况检查8个问题点位的整改。</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完成《2020年长江经济带生态环境警示片》披露问题整改，同时开展了13项自查自纠专项整治行动。全面完成市级生态环境警示片披露的9个点位问题整改。拍摄完成三期区级警示片《青浦生态环境在行动》。</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3.</w:t>
      </w:r>
      <w:r>
        <w:rPr>
          <w:rFonts w:ascii="Times New Roman" w:hAnsi="Times New Roman" w:eastAsia="仿宋_GB2312" w:cs="Times New Roman"/>
          <w:sz w:val="28"/>
          <w:szCs w:val="28"/>
        </w:rPr>
        <w:t>环评制度改革</w:t>
      </w:r>
    </w:p>
    <w:p>
      <w:pPr>
        <w:ind w:firstLine="560" w:firstLineChars="200"/>
      </w:pPr>
      <w:r>
        <w:rPr>
          <w:rFonts w:hint="eastAsia" w:ascii="Times New Roman" w:hAnsi="Times New Roman" w:eastAsia="仿宋_GB2312" w:cs="Times New Roman"/>
          <w:sz w:val="28"/>
          <w:szCs w:val="28"/>
        </w:rPr>
        <w:t>进一步扩大环境影响评价豁免范围。加强规划环评和建设项目环评联动，对一园三区、朱家角工业园区实施环评优化措施。开展环评审批“双减半”，审批时限由法定60天压缩至5个工作日，并大幅提高“即办件”比例。开展“一业一证”审批流程再造。全面推广行政许可电子证照工作。</w:t>
      </w:r>
    </w:p>
    <w:p>
      <w:pPr>
        <w:spacing w:before="312" w:beforeLines="100" w:after="312" w:afterLines="100"/>
        <w:ind w:firstLine="560" w:firstLineChars="200"/>
        <w:rPr>
          <w:rFonts w:ascii="黑体" w:hAnsi="黑体" w:eastAsia="黑体" w:cs="黑体"/>
          <w:sz w:val="28"/>
          <w:szCs w:val="28"/>
        </w:rPr>
      </w:pPr>
      <w:r>
        <w:rPr>
          <w:rFonts w:hint="eastAsia" w:ascii="黑体" w:hAnsi="黑体" w:eastAsia="黑体" w:cs="黑体"/>
          <w:sz w:val="28"/>
          <w:szCs w:val="28"/>
        </w:rPr>
        <w:t>三、其他重点工作</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1.</w:t>
      </w:r>
      <w:r>
        <w:rPr>
          <w:rFonts w:ascii="Times New Roman" w:hAnsi="Times New Roman" w:eastAsia="仿宋_GB2312" w:cs="Times New Roman"/>
          <w:sz w:val="28"/>
          <w:szCs w:val="28"/>
        </w:rPr>
        <w:t>排污许可</w:t>
      </w:r>
      <w:r>
        <w:rPr>
          <w:rFonts w:hint="eastAsia" w:ascii="Times New Roman" w:hAnsi="Times New Roman" w:eastAsia="仿宋_GB2312" w:cs="Times New Roman"/>
          <w:sz w:val="28"/>
          <w:szCs w:val="28"/>
        </w:rPr>
        <w:t>管理</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巩固排污许可全覆盖成果，完成生态环境部排污许可“双百”考核。构建以排污许可制为核心的固定污染源监管制度体系，强化监管、监测、执法协同联动，对380家持证单位开展“三监联动”证后监管。</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w:t>
      </w:r>
      <w:r>
        <w:rPr>
          <w:rFonts w:ascii="Times New Roman" w:hAnsi="Times New Roman" w:eastAsia="仿宋_GB2312" w:cs="Times New Roman"/>
          <w:sz w:val="28"/>
          <w:szCs w:val="28"/>
        </w:rPr>
        <w:t>长三角</w:t>
      </w:r>
      <w:r>
        <w:rPr>
          <w:rFonts w:hint="eastAsia" w:ascii="Times New Roman" w:hAnsi="Times New Roman" w:eastAsia="仿宋_GB2312" w:cs="Times New Roman"/>
          <w:sz w:val="28"/>
          <w:szCs w:val="28"/>
        </w:rPr>
        <w:t>区域协作</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落实生态环境“三统一”制度方面。牵头编制《长三角生态绿色一体化发展示范区大气监测系统建设实施方案》，推进落实示范区监测统一。积极推动长三角一体化环评制度改革。开展多次联合执法，联合编制《长三角生态绿色一体化发展示范区生态环境轻微违法行为免罚清单目录》，助力示范区企业高质量发展。</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区域环境污染联防联控方面。做实“联合河湖长制”，贯彻落实跨界水体联保方案，配合完成“一河三湖”生态调查评估，牵头印发示范区联合河长制年度55项任务清单，顺利推进雪落漾一体化管养试点项目。协同推进示范区饮用水水源保护立法调研。</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重大项目建设方面。实现3.1公里元荡生态岸线修复及贯通，推进太浦河岸线生态修复、岸线贯通工程示范段建设，启动淀山湖堤防达标及岸线贯通工程（一期）4.7公里岸线建设。</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3.碳达峰行动</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启动</w:t>
      </w:r>
      <w:r>
        <w:rPr>
          <w:rFonts w:ascii="Times New Roman" w:hAnsi="Times New Roman" w:eastAsia="仿宋_GB2312" w:cs="Times New Roman"/>
          <w:sz w:val="28"/>
          <w:szCs w:val="28"/>
        </w:rPr>
        <w:t>编制《青浦区二氧化碳排放达峰行动方案》。启动上海市第三批低碳社区创建工作，开展徐泾镇绿中海明苑和赵巷镇龙联社区2个低碳社区创建。</w:t>
      </w:r>
    </w:p>
    <w:p>
      <w:pPr>
        <w:spacing w:before="312" w:beforeLines="100" w:after="312" w:afterLines="100"/>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保障措施</w:t>
      </w:r>
    </w:p>
    <w:p>
      <w:pPr>
        <w:numPr>
          <w:ilvl w:val="0"/>
          <w:numId w:val="8"/>
        </w:numPr>
        <w:spacing w:before="312" w:beforeLines="100" w:after="312" w:afterLines="100"/>
        <w:ind w:firstLine="560" w:firstLineChars="200"/>
        <w:rPr>
          <w:rFonts w:ascii="黑体" w:hAnsi="黑体" w:eastAsia="黑体" w:cs="黑体"/>
          <w:sz w:val="28"/>
          <w:szCs w:val="28"/>
        </w:rPr>
      </w:pPr>
      <w:r>
        <w:rPr>
          <w:rFonts w:hint="eastAsia" w:ascii="黑体" w:hAnsi="黑体" w:eastAsia="黑体" w:cs="黑体"/>
          <w:sz w:val="28"/>
          <w:szCs w:val="28"/>
        </w:rPr>
        <w:t>环境执法</w:t>
      </w:r>
    </w:p>
    <w:p>
      <w:pPr>
        <w:spacing w:before="312" w:beforeLines="100" w:after="312" w:afterLines="100"/>
        <w:ind w:firstLine="560" w:firstLineChars="200"/>
        <w:rPr>
          <w:rFonts w:eastAsia="仿宋_GB2312"/>
          <w:color w:val="000000"/>
          <w:sz w:val="32"/>
          <w:szCs w:val="32"/>
        </w:rPr>
      </w:pPr>
      <w:r>
        <w:rPr>
          <w:rFonts w:hint="eastAsia" w:ascii="Times New Roman" w:hAnsi="Times New Roman" w:eastAsia="仿宋_GB2312" w:cs="Times New Roman"/>
          <w:sz w:val="28"/>
          <w:szCs w:val="28"/>
        </w:rPr>
        <w:t>持续加大生态环境执法力度。深化双随机监管，全年累计随机抽查企业545户次，立案查处6户。开展要素专项执法行动。全年共出动执法人员1092批/4428人次、检查企业1869户次，作出行政处罚38件，处罚金额为539.45万元，消除各类环境安全隐患250个。全年未发生一般及以上突发环境污染事件。</w:t>
      </w:r>
    </w:p>
    <w:p>
      <w:pPr>
        <w:spacing w:before="312" w:beforeLines="100" w:after="312" w:afterLines="100"/>
        <w:ind w:firstLine="560" w:firstLineChars="200"/>
        <w:rPr>
          <w:rFonts w:ascii="黑体" w:hAnsi="黑体" w:eastAsia="黑体" w:cs="黑体"/>
          <w:sz w:val="28"/>
          <w:szCs w:val="28"/>
        </w:rPr>
      </w:pPr>
      <w:r>
        <w:rPr>
          <w:rFonts w:hint="eastAsia" w:ascii="黑体" w:hAnsi="黑体" w:eastAsia="黑体" w:cs="黑体"/>
          <w:sz w:val="28"/>
          <w:szCs w:val="28"/>
        </w:rPr>
        <w:t>二、环保投入</w:t>
      </w:r>
    </w:p>
    <w:p>
      <w:pPr>
        <w:spacing w:before="312" w:beforeLines="100" w:after="312" w:afterLines="100"/>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2021年，青浦区生态环境保护投入资金85.85亿元，占年度地区生产总值的6.52%，其中：市、区财政拨款64.01亿元，占环保总投入的74.55%，其他投资21.85亿元，占环保总投入的25.45%。生态环境保护投资中，用于污染源防治13.75亿元，占总投入16.02%；用于生态保护和建设0.074亿元，占总投入0.86%；用于农村环境保护34.75亿元，占总投入40.48%；用于城市环境基础设施建设24.96亿元，占总投入的29.07%；用于生态环境管理能力建设0.91亿元，占总投入1.1%。环保设施运转费11.24亿元，占总投入的13.09%；其他投入0.16亿元，占总投入的0.19%。</w:t>
      </w:r>
    </w:p>
    <w:p>
      <w:pPr>
        <w:spacing w:before="312" w:beforeLines="100" w:after="312" w:afterLines="100"/>
        <w:ind w:firstLine="560" w:firstLineChars="200"/>
        <w:rPr>
          <w:rFonts w:ascii="黑体" w:hAnsi="黑体" w:eastAsia="黑体" w:cs="黑体"/>
          <w:sz w:val="28"/>
          <w:szCs w:val="28"/>
        </w:rPr>
      </w:pPr>
      <w:r>
        <w:rPr>
          <w:rFonts w:hint="eastAsia" w:ascii="黑体" w:hAnsi="黑体" w:eastAsia="黑体" w:cs="黑体"/>
          <w:sz w:val="28"/>
          <w:szCs w:val="28"/>
        </w:rPr>
        <w:t>三、环境监测</w:t>
      </w:r>
    </w:p>
    <w:p>
      <w:pPr>
        <w:spacing w:before="312" w:beforeLines="100" w:after="312" w:afterLines="100"/>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2021年，青浦区进一步提升生态环境监测能力，助力污染防治攻坚战。按监测计划完成全年地表水环境、环境空气、声环境质量监测任务，全面完成农村地区生态环境监测工作。有序推进各项重点排污单位监测和各类污染源的专项监测。加强基础设施建设，完善地表水环境预警监测与评估体系。编制完成《上海市青浦区环境质量报告书（2016-2020年）》。进一步规范排污单位自行监测检查工作，完成63家排污单位的自行监测现场方案检查评分。加强对环境监测社会化服务机构的管理，提升社会会监测机构服务质量。</w:t>
      </w:r>
    </w:p>
    <w:p>
      <w:pPr>
        <w:spacing w:before="312" w:beforeLines="100" w:after="312" w:afterLines="100"/>
        <w:ind w:firstLine="560" w:firstLineChars="200"/>
        <w:rPr>
          <w:rFonts w:ascii="黑体" w:hAnsi="黑体" w:eastAsia="黑体" w:cs="黑体"/>
          <w:sz w:val="28"/>
          <w:szCs w:val="28"/>
        </w:rPr>
      </w:pPr>
      <w:r>
        <w:rPr>
          <w:rFonts w:hint="eastAsia" w:ascii="黑体" w:hAnsi="黑体" w:eastAsia="黑体" w:cs="黑体"/>
          <w:sz w:val="28"/>
          <w:szCs w:val="28"/>
        </w:rPr>
        <w:t>四、环评管理</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2021年，落实环评制度改革，以排污许可制度为抓手，强化污染源管理，牢牢守住环境风险底线。</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全年审批环评审批建设项目事中监管44个，环评104个、环评登记表备案项目事后监管175个，开展建设项目自主验收的抽查19个。</w:t>
      </w:r>
    </w:p>
    <w:p>
      <w:pPr>
        <w:pStyle w:val="2"/>
        <w:spacing w:before="312" w:beforeLines="100" w:after="312" w:afterLines="100" w:line="240" w:lineRule="auto"/>
        <w:ind w:firstLine="560" w:firstLineChars="200"/>
        <w:jc w:val="both"/>
        <w:rPr>
          <w:rFonts w:ascii="黑体" w:hAnsi="黑体" w:eastAsia="黑体" w:cs="黑体"/>
          <w:b w:val="0"/>
          <w:bCs w:val="0"/>
          <w:sz w:val="28"/>
          <w:szCs w:val="28"/>
        </w:rPr>
      </w:pPr>
      <w:r>
        <w:rPr>
          <w:rFonts w:hint="eastAsia" w:ascii="黑体" w:hAnsi="黑体" w:eastAsia="黑体" w:cs="黑体"/>
          <w:b w:val="0"/>
          <w:bCs w:val="0"/>
          <w:sz w:val="28"/>
          <w:szCs w:val="28"/>
        </w:rPr>
        <w:t>五、环境法制</w:t>
      </w:r>
    </w:p>
    <w:p>
      <w:pPr>
        <w:pStyle w:val="2"/>
        <w:spacing w:line="240" w:lineRule="auto"/>
        <w:jc w:val="both"/>
        <w:rPr>
          <w:rFonts w:ascii="Times New Roman" w:hAnsi="Times New Roman" w:eastAsia="仿宋_GB2312" w:cs="Times New Roman"/>
          <w:b w:val="0"/>
          <w:bCs w:val="0"/>
          <w:sz w:val="28"/>
          <w:szCs w:val="28"/>
        </w:rPr>
      </w:pPr>
      <w:r>
        <w:rPr>
          <w:rFonts w:hint="eastAsia" w:ascii="黑体" w:hAnsi="黑体" w:eastAsia="黑体" w:cs="黑体"/>
          <w:b w:val="0"/>
          <w:bCs w:val="0"/>
          <w:sz w:val="28"/>
          <w:szCs w:val="28"/>
        </w:rPr>
        <w:t xml:space="preserve">   </w:t>
      </w:r>
      <w:r>
        <w:rPr>
          <w:rFonts w:hint="eastAsia" w:ascii="Times New Roman" w:hAnsi="Times New Roman" w:eastAsia="仿宋_GB2312" w:cs="Times New Roman"/>
          <w:b w:val="0"/>
          <w:bCs w:val="0"/>
          <w:sz w:val="28"/>
          <w:szCs w:val="28"/>
        </w:rPr>
        <w:t xml:space="preserve"> 健全生态环境损害赔偿制度，2021年，开展2起生态环境损害赔偿案例。在全市率先落实“河长+警长+检察长”联动机制，充分发挥依法治河作用。加强环境资源审判及生态修复执行，将“长三角淀山湖生态修复基地”打造成环境资源审判的品牌名片。</w:t>
      </w:r>
    </w:p>
    <w:p>
      <w:pPr>
        <w:spacing w:before="312" w:beforeLines="100" w:after="312" w:afterLines="100"/>
        <w:rPr>
          <w:rFonts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公众参与和监督</w:t>
      </w:r>
    </w:p>
    <w:p>
      <w:pPr>
        <w:numPr>
          <w:ilvl w:val="0"/>
          <w:numId w:val="9"/>
        </w:numPr>
        <w:spacing w:before="312" w:beforeLines="100" w:after="312" w:afterLines="100"/>
        <w:ind w:firstLine="560" w:firstLineChars="200"/>
        <w:rPr>
          <w:rFonts w:ascii="黑体" w:hAnsi="黑体" w:eastAsia="黑体" w:cs="黑体"/>
          <w:sz w:val="28"/>
          <w:szCs w:val="28"/>
        </w:rPr>
      </w:pPr>
      <w:r>
        <w:rPr>
          <w:rFonts w:hint="eastAsia" w:ascii="黑体" w:hAnsi="黑体" w:eastAsia="黑体" w:cs="黑体"/>
          <w:sz w:val="28"/>
          <w:szCs w:val="28"/>
        </w:rPr>
        <w:t>信息公开</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2021年，青浦区生态环境局贯彻落实《政府信息公开条例》和《上海市政务信息公开规定》要求，规范政府信息公开流程，编制完成《青浦区生态环境局政务公开标准目录》，发布重大行政事项目录。依法做好政务信息公开工作，全年受理申请5件，申请件全部办结。完善门户网站设置，及时发布各类政府信息320条，确保人民群众对生态环境建设的知晓权。</w:t>
      </w:r>
    </w:p>
    <w:p>
      <w:pPr>
        <w:numPr>
          <w:ilvl w:val="0"/>
          <w:numId w:val="9"/>
        </w:numPr>
        <w:spacing w:before="312" w:beforeLines="100" w:after="312" w:afterLines="100"/>
        <w:ind w:firstLine="560" w:firstLineChars="200"/>
        <w:rPr>
          <w:rFonts w:ascii="黑体" w:hAnsi="黑体" w:eastAsia="黑体" w:cs="黑体"/>
          <w:sz w:val="28"/>
          <w:szCs w:val="28"/>
        </w:rPr>
      </w:pPr>
      <w:r>
        <w:rPr>
          <w:rFonts w:hint="eastAsia" w:ascii="黑体" w:hAnsi="黑体" w:eastAsia="黑体" w:cs="黑体"/>
          <w:sz w:val="28"/>
          <w:szCs w:val="28"/>
        </w:rPr>
        <w:t>投诉受理</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2021年，生态环境局共受理各类环境投诉1884件，受理总量同比增加9.8%，其中12345信访总量1317（市1069件、区248件）占比81%。</w:t>
      </w:r>
      <w:r>
        <w:rPr>
          <w:rFonts w:ascii="Times New Roman" w:hAnsi="Times New Roman" w:eastAsia="仿宋_GB2312" w:cs="Times New Roman"/>
          <w:sz w:val="28"/>
          <w:szCs w:val="28"/>
        </w:rPr>
        <w:t>全区未发生因环境信访工作不到位而引发的重大群体性事件。</w:t>
      </w:r>
    </w:p>
    <w:p>
      <w:pPr>
        <w:spacing w:before="312" w:beforeLines="100" w:after="312" w:afterLines="100"/>
        <w:ind w:firstLine="560" w:firstLineChars="200"/>
        <w:rPr>
          <w:rFonts w:ascii="黑体" w:hAnsi="黑体" w:eastAsia="黑体" w:cs="黑体"/>
          <w:sz w:val="28"/>
          <w:szCs w:val="28"/>
        </w:rPr>
      </w:pPr>
      <w:r>
        <w:rPr>
          <w:rFonts w:hint="eastAsia" w:ascii="黑体" w:hAnsi="黑体" w:eastAsia="黑体" w:cs="黑体"/>
          <w:sz w:val="28"/>
          <w:szCs w:val="28"/>
        </w:rPr>
        <w:t>三、环保宣传</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创新生态环境宣传方式方法，扩大环保品牌效应，依托政务公众号开设专栏广泛传播生态文明理念。2021年，青浦环境“两微”平台推送微信1670条、发布微博5169条。</w:t>
      </w:r>
    </w:p>
    <w:p>
      <w:pPr>
        <w:ind w:firstLine="560" w:firstLineChars="200"/>
        <w:rPr>
          <w:rFonts w:ascii="Times New Roman" w:hAnsi="Times New Roman" w:eastAsia="仿宋_GB2312" w:cs="Times New Roman"/>
          <w:sz w:val="28"/>
          <w:szCs w:val="28"/>
        </w:rPr>
      </w:pPr>
      <w:r>
        <w:rPr>
          <w:rFonts w:hint="eastAsia" w:ascii="Times New Roman" w:hAnsi="Times New Roman" w:eastAsia="仿宋_GB2312" w:cs="Times New Roman"/>
          <w:sz w:val="28"/>
          <w:szCs w:val="28"/>
        </w:rPr>
        <w:t>加强环保宣传队伍引领，多部门联合组成绿色联盟护卫队，开展“绿色三次方”行动。2021年，环保宣讲团累计开展线下宣讲活动12场，参与人数达750余人。结合六五环境日、全国低碳日、生物多样性日等重要节点，开展“线上+线下”宣传活动。依托“青浦环境”卡通人物形象“小青芽”，推出“小青芽”表情包、“青芽课堂Let’Go”等系列栏目普及环保理念。</w:t>
      </w:r>
    </w:p>
    <w:p>
      <w:pPr>
        <w:ind w:firstLine="560" w:firstLineChars="200"/>
        <w:rPr>
          <w:sz w:val="28"/>
          <w:szCs w:val="28"/>
        </w:rPr>
      </w:pPr>
      <w:r>
        <w:rPr>
          <w:rFonts w:hint="eastAsia" w:ascii="Times New Roman" w:hAnsi="Times New Roman" w:eastAsia="仿宋_GB2312" w:cs="Times New Roman"/>
          <w:sz w:val="28"/>
          <w:szCs w:val="28"/>
        </w:rPr>
        <w:t>深入推动全区14家环保设施向公众开放。</w:t>
      </w:r>
    </w:p>
    <w:sectPr>
      <w:footerReference r:id="rId6"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
    <w:panose1 w:val="02010609060101010101"/>
    <w:charset w:val="86"/>
    <w:family w:val="modern"/>
    <w:pitch w:val="default"/>
    <w:sig w:usb0="800002BF" w:usb1="38CF7CFA" w:usb2="00000016" w:usb3="00000000" w:csb0="00040001" w:csb1="00000000"/>
  </w:font>
  <w:font w:name="华文行楷">
    <w:altName w:val="汉仪行楷简"/>
    <w:panose1 w:val="02010800040101010101"/>
    <w:charset w:val="86"/>
    <w:family w:val="auto"/>
    <w:pitch w:val="default"/>
    <w:sig w:usb0="00000000" w:usb1="00000000" w:usb2="00000010" w:usb3="00000000" w:csb0="00040000" w:csb1="00000000"/>
  </w:font>
  <w:font w:name="华文隶书">
    <w:altName w:val="方正隶书_GBK"/>
    <w:panose1 w:val="02010800040101010101"/>
    <w:charset w:val="86"/>
    <w:family w:val="auto"/>
    <w:pitch w:val="default"/>
    <w:sig w:usb0="00000000" w:usb1="00000000" w:usb2="0000001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隶书_GBK">
    <w:panose1 w:val="02000000000000000000"/>
    <w:charset w:val="86"/>
    <w:family w:val="auto"/>
    <w:pitch w:val="default"/>
    <w:sig w:usb0="00000001" w:usb1="08000000" w:usb2="00000000" w:usb3="00000000" w:csb0="00040000" w:csb1="00000000"/>
  </w:font>
  <w:font w:name="汉仪行楷简">
    <w:panose1 w:val="02010600000101010101"/>
    <w:charset w:val="86"/>
    <w:family w:val="auto"/>
    <w:pitch w:val="default"/>
    <w:sig w:usb0="00000001" w:usb1="080E0800" w:usb2="00000002" w:usb3="00000000" w:csb0="00040000" w:csb1="00000000"/>
  </w:font>
  <w:font w:name="Nimbus Roman No9 L">
    <w:panose1 w:val="00000000000000000000"/>
    <w:charset w:val="00"/>
    <w:family w:val="auto"/>
    <w:pitch w:val="default"/>
    <w:sig w:usb0="00000000" w:usb1="00000000" w:usb2="00000000" w:usb3="00000000" w:csb0="00000000" w:csb1="00000000"/>
  </w:font>
  <w:font w:name="方正宋体S-超大字符集">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jc w:val="center"/>
      <w:rPr>
        <w:rFonts w:ascii="华文隶书" w:eastAsia="华文隶书"/>
        <w:b/>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华文隶书" w:eastAsia="华文隶书"/>
        <w:b/>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right"/>
      <w:rPr>
        <w:rFonts w:ascii="华文隶书" w:eastAsia="华文隶书"/>
        <w:b/>
      </w:rP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asciiTheme="minorEastAsia" w:hAnsiTheme="minorEastAsia" w:cstheme="minorEastAsia"/>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asciiTheme="minorEastAsia" w:hAnsiTheme="minorEastAsia" w:cstheme="minorEastAsia"/>
                              <w:sz w:val="24"/>
                              <w:szCs w:val="24"/>
                            </w:rPr>
                            <w:t>15</w:t>
                          </w:r>
                          <w:r>
                            <w:rPr>
                              <w:rFonts w:hint="eastAsia" w:asciiTheme="minorEastAsia" w:hAnsiTheme="minorEastAsia" w:cstheme="minorEastAsia"/>
                              <w:sz w:val="24"/>
                              <w:szCs w:val="24"/>
                            </w:rP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A7fgaMUAgAAGwQAAA4AAAAAAAAAAQAgAAAANQEAAGRycy9lMm9Eb2MueG1sUEsFBgAAAAAGAAYA&#10;WQEAALsFAAAAAA==&#10;">
              <v:fill on="f" focussize="0,0"/>
              <v:stroke on="f" weight="0.5pt"/>
              <v:imagedata o:title=""/>
              <o:lock v:ext="edit" aspectratio="f"/>
              <v:textbox inset="0mm,0mm,0mm,0mm" style="mso-fit-shape-to-text:t;">
                <w:txbxContent>
                  <w:p>
                    <w:pPr>
                      <w:pStyle w:val="5"/>
                      <w:rPr>
                        <w:rFonts w:asciiTheme="minorEastAsia" w:hAnsiTheme="minorEastAsia" w:cstheme="minorEastAsia"/>
                        <w:sz w:val="24"/>
                        <w:szCs w:val="24"/>
                      </w:rPr>
                    </w:pPr>
                    <w:r>
                      <w:rPr>
                        <w:rFonts w:hint="eastAsia" w:asciiTheme="minorEastAsia" w:hAnsiTheme="minorEastAsia" w:cstheme="minorEastAsia"/>
                        <w:sz w:val="24"/>
                        <w:szCs w:val="24"/>
                      </w:rPr>
                      <w:fldChar w:fldCharType="begin"/>
                    </w:r>
                    <w:r>
                      <w:rPr>
                        <w:rFonts w:hint="eastAsia" w:asciiTheme="minorEastAsia" w:hAnsiTheme="minorEastAsia" w:cstheme="minorEastAsia"/>
                        <w:sz w:val="24"/>
                        <w:szCs w:val="24"/>
                      </w:rPr>
                      <w:instrText xml:space="preserve"> PAGE  \* MERGEFORMAT </w:instrText>
                    </w:r>
                    <w:r>
                      <w:rPr>
                        <w:rFonts w:hint="eastAsia" w:asciiTheme="minorEastAsia" w:hAnsiTheme="minorEastAsia" w:cstheme="minorEastAsia"/>
                        <w:sz w:val="24"/>
                        <w:szCs w:val="24"/>
                      </w:rPr>
                      <w:fldChar w:fldCharType="separate"/>
                    </w:r>
                    <w:r>
                      <w:rPr>
                        <w:rFonts w:asciiTheme="minorEastAsia" w:hAnsiTheme="minorEastAsia" w:cstheme="minorEastAsia"/>
                        <w:sz w:val="24"/>
                        <w:szCs w:val="24"/>
                      </w:rPr>
                      <w:t>15</w:t>
                    </w:r>
                    <w:r>
                      <w:rPr>
                        <w:rFonts w:hint="eastAsia" w:asciiTheme="minorEastAsia" w:hAnsiTheme="minorEastAsia" w:cstheme="minorEastAsia"/>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8CAF73"/>
    <w:multiLevelType w:val="singleLevel"/>
    <w:tmpl w:val="B58CAF73"/>
    <w:lvl w:ilvl="0" w:tentative="0">
      <w:start w:val="1"/>
      <w:numFmt w:val="chineseCounting"/>
      <w:suff w:val="nothing"/>
      <w:lvlText w:val="%1、"/>
      <w:lvlJc w:val="left"/>
      <w:rPr>
        <w:rFonts w:hint="eastAsia"/>
      </w:rPr>
    </w:lvl>
  </w:abstractNum>
  <w:abstractNum w:abstractNumId="1">
    <w:nsid w:val="C2DE3CC9"/>
    <w:multiLevelType w:val="singleLevel"/>
    <w:tmpl w:val="C2DE3CC9"/>
    <w:lvl w:ilvl="0" w:tentative="0">
      <w:start w:val="1"/>
      <w:numFmt w:val="chineseCounting"/>
      <w:suff w:val="nothing"/>
      <w:lvlText w:val="%1、"/>
      <w:lvlJc w:val="left"/>
      <w:rPr>
        <w:rFonts w:hint="eastAsia"/>
      </w:rPr>
    </w:lvl>
  </w:abstractNum>
  <w:abstractNum w:abstractNumId="2">
    <w:nsid w:val="1781670D"/>
    <w:multiLevelType w:val="singleLevel"/>
    <w:tmpl w:val="1781670D"/>
    <w:lvl w:ilvl="0" w:tentative="0">
      <w:start w:val="4"/>
      <w:numFmt w:val="decimal"/>
      <w:suff w:val="space"/>
      <w:lvlText w:val="%1."/>
      <w:lvlJc w:val="left"/>
    </w:lvl>
  </w:abstractNum>
  <w:abstractNum w:abstractNumId="3">
    <w:nsid w:val="1865C761"/>
    <w:multiLevelType w:val="singleLevel"/>
    <w:tmpl w:val="1865C761"/>
    <w:lvl w:ilvl="0" w:tentative="0">
      <w:start w:val="1"/>
      <w:numFmt w:val="decimal"/>
      <w:suff w:val="space"/>
      <w:lvlText w:val="%1."/>
      <w:lvlJc w:val="left"/>
    </w:lvl>
  </w:abstractNum>
  <w:abstractNum w:abstractNumId="4">
    <w:nsid w:val="1B242FCB"/>
    <w:multiLevelType w:val="singleLevel"/>
    <w:tmpl w:val="1B242FCB"/>
    <w:lvl w:ilvl="0" w:tentative="0">
      <w:start w:val="1"/>
      <w:numFmt w:val="decimal"/>
      <w:suff w:val="space"/>
      <w:lvlText w:val="%1."/>
      <w:lvlJc w:val="left"/>
    </w:lvl>
  </w:abstractNum>
  <w:abstractNum w:abstractNumId="5">
    <w:nsid w:val="20A14E9F"/>
    <w:multiLevelType w:val="singleLevel"/>
    <w:tmpl w:val="20A14E9F"/>
    <w:lvl w:ilvl="0" w:tentative="0">
      <w:start w:val="1"/>
      <w:numFmt w:val="chineseCounting"/>
      <w:suff w:val="nothing"/>
      <w:lvlText w:val="%1、"/>
      <w:lvlJc w:val="left"/>
      <w:pPr>
        <w:ind w:left="560" w:firstLine="0"/>
      </w:pPr>
      <w:rPr>
        <w:rFonts w:hint="eastAsia"/>
      </w:rPr>
    </w:lvl>
  </w:abstractNum>
  <w:abstractNum w:abstractNumId="6">
    <w:nsid w:val="26430062"/>
    <w:multiLevelType w:val="singleLevel"/>
    <w:tmpl w:val="26430062"/>
    <w:lvl w:ilvl="0" w:tentative="0">
      <w:start w:val="1"/>
      <w:numFmt w:val="decimal"/>
      <w:suff w:val="space"/>
      <w:lvlText w:val="%1."/>
      <w:lvlJc w:val="left"/>
      <w:pPr>
        <w:ind w:left="280" w:firstLine="0"/>
      </w:pPr>
    </w:lvl>
  </w:abstractNum>
  <w:abstractNum w:abstractNumId="7">
    <w:nsid w:val="2A016DCF"/>
    <w:multiLevelType w:val="singleLevel"/>
    <w:tmpl w:val="2A016DCF"/>
    <w:lvl w:ilvl="0" w:tentative="0">
      <w:start w:val="1"/>
      <w:numFmt w:val="chineseCounting"/>
      <w:suff w:val="nothing"/>
      <w:lvlText w:val="%1、"/>
      <w:lvlJc w:val="left"/>
      <w:rPr>
        <w:rFonts w:hint="eastAsia"/>
      </w:rPr>
    </w:lvl>
  </w:abstractNum>
  <w:abstractNum w:abstractNumId="8">
    <w:nsid w:val="3B20C458"/>
    <w:multiLevelType w:val="singleLevel"/>
    <w:tmpl w:val="3B20C458"/>
    <w:lvl w:ilvl="0" w:tentative="0">
      <w:start w:val="1"/>
      <w:numFmt w:val="chineseCounting"/>
      <w:suff w:val="nothing"/>
      <w:lvlText w:val="%1、"/>
      <w:lvlJc w:val="left"/>
      <w:rPr>
        <w:rFonts w:hint="eastAsia"/>
      </w:rPr>
    </w:lvl>
  </w:abstractNum>
  <w:num w:numId="1">
    <w:abstractNumId w:val="5"/>
  </w:num>
  <w:num w:numId="2">
    <w:abstractNumId w:val="0"/>
  </w:num>
  <w:num w:numId="3">
    <w:abstractNumId w:val="8"/>
  </w:num>
  <w:num w:numId="4">
    <w:abstractNumId w:val="6"/>
  </w:num>
  <w:num w:numId="5">
    <w:abstractNumId w:val="2"/>
  </w:num>
  <w:num w:numId="6">
    <w:abstractNumId w:val="4"/>
  </w:num>
  <w:num w:numId="7">
    <w:abstractNumId w:val="3"/>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noPunctuationKerning w:val="true"/>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IyODE1ZTNjYjBmODI2NGM5NzkzNDVmZjNkODU4NzAifQ=="/>
  </w:docVars>
  <w:rsids>
    <w:rsidRoot w:val="007611F8"/>
    <w:rsid w:val="0002676D"/>
    <w:rsid w:val="00117EB4"/>
    <w:rsid w:val="001A3FE8"/>
    <w:rsid w:val="001C58CE"/>
    <w:rsid w:val="0025510E"/>
    <w:rsid w:val="0034213B"/>
    <w:rsid w:val="003B75B5"/>
    <w:rsid w:val="00416CC3"/>
    <w:rsid w:val="00484501"/>
    <w:rsid w:val="004A6386"/>
    <w:rsid w:val="005616CE"/>
    <w:rsid w:val="00581206"/>
    <w:rsid w:val="00587F91"/>
    <w:rsid w:val="00593B47"/>
    <w:rsid w:val="006A5F98"/>
    <w:rsid w:val="00760FBE"/>
    <w:rsid w:val="007611F8"/>
    <w:rsid w:val="007A1F53"/>
    <w:rsid w:val="007F3703"/>
    <w:rsid w:val="00917335"/>
    <w:rsid w:val="009958E5"/>
    <w:rsid w:val="00B16839"/>
    <w:rsid w:val="00B270A1"/>
    <w:rsid w:val="00E061B7"/>
    <w:rsid w:val="00EE1BD0"/>
    <w:rsid w:val="00FB6832"/>
    <w:rsid w:val="01367800"/>
    <w:rsid w:val="022A6FF2"/>
    <w:rsid w:val="02486E02"/>
    <w:rsid w:val="024F5577"/>
    <w:rsid w:val="026E1495"/>
    <w:rsid w:val="02A02A7A"/>
    <w:rsid w:val="02AD39F0"/>
    <w:rsid w:val="02B15B23"/>
    <w:rsid w:val="03C163AB"/>
    <w:rsid w:val="03E9380A"/>
    <w:rsid w:val="03FE6382"/>
    <w:rsid w:val="04874ECA"/>
    <w:rsid w:val="048C273F"/>
    <w:rsid w:val="04A515DE"/>
    <w:rsid w:val="04F2580B"/>
    <w:rsid w:val="050C0864"/>
    <w:rsid w:val="053B36DD"/>
    <w:rsid w:val="05D46C0E"/>
    <w:rsid w:val="060D5BFD"/>
    <w:rsid w:val="06EA2DFF"/>
    <w:rsid w:val="070C09A2"/>
    <w:rsid w:val="07377D72"/>
    <w:rsid w:val="075A7207"/>
    <w:rsid w:val="076C755E"/>
    <w:rsid w:val="077A5729"/>
    <w:rsid w:val="07BB71FC"/>
    <w:rsid w:val="089F4AD1"/>
    <w:rsid w:val="0B865145"/>
    <w:rsid w:val="0B9254F1"/>
    <w:rsid w:val="0BA64ABF"/>
    <w:rsid w:val="0C6C089E"/>
    <w:rsid w:val="0CAE6D6A"/>
    <w:rsid w:val="0CB5380C"/>
    <w:rsid w:val="0E116CE2"/>
    <w:rsid w:val="0E5C3E41"/>
    <w:rsid w:val="0E5F28F7"/>
    <w:rsid w:val="0F082BEE"/>
    <w:rsid w:val="0F192549"/>
    <w:rsid w:val="0F460DCA"/>
    <w:rsid w:val="0F5D1767"/>
    <w:rsid w:val="0F6E0AB1"/>
    <w:rsid w:val="0FDCE584"/>
    <w:rsid w:val="102E59A6"/>
    <w:rsid w:val="108D76CF"/>
    <w:rsid w:val="10C35338"/>
    <w:rsid w:val="10F44E62"/>
    <w:rsid w:val="11276E72"/>
    <w:rsid w:val="11287C95"/>
    <w:rsid w:val="118067D4"/>
    <w:rsid w:val="11810826"/>
    <w:rsid w:val="11E62EEB"/>
    <w:rsid w:val="12A02652"/>
    <w:rsid w:val="12F73E60"/>
    <w:rsid w:val="13660D60"/>
    <w:rsid w:val="14E44FA4"/>
    <w:rsid w:val="15053D2D"/>
    <w:rsid w:val="15A21E14"/>
    <w:rsid w:val="16132F97"/>
    <w:rsid w:val="16253B31"/>
    <w:rsid w:val="167C06CE"/>
    <w:rsid w:val="17796CBC"/>
    <w:rsid w:val="17A71FAE"/>
    <w:rsid w:val="17A846B4"/>
    <w:rsid w:val="17F22DE0"/>
    <w:rsid w:val="1821494D"/>
    <w:rsid w:val="19085F5B"/>
    <w:rsid w:val="19313A18"/>
    <w:rsid w:val="19C20717"/>
    <w:rsid w:val="1AC26728"/>
    <w:rsid w:val="1AE30D5F"/>
    <w:rsid w:val="1B084763"/>
    <w:rsid w:val="1BA61E80"/>
    <w:rsid w:val="1C3F06E1"/>
    <w:rsid w:val="1C912A11"/>
    <w:rsid w:val="1C93321E"/>
    <w:rsid w:val="1CAB4F06"/>
    <w:rsid w:val="1CCC579C"/>
    <w:rsid w:val="1D3A00F9"/>
    <w:rsid w:val="1D7146ED"/>
    <w:rsid w:val="1ED72992"/>
    <w:rsid w:val="1ED91E70"/>
    <w:rsid w:val="20556536"/>
    <w:rsid w:val="206D30FB"/>
    <w:rsid w:val="22BA6EDB"/>
    <w:rsid w:val="22FF6AA1"/>
    <w:rsid w:val="233C759B"/>
    <w:rsid w:val="2346034B"/>
    <w:rsid w:val="235234AD"/>
    <w:rsid w:val="2394798D"/>
    <w:rsid w:val="23F70521"/>
    <w:rsid w:val="240A1B6D"/>
    <w:rsid w:val="25123C02"/>
    <w:rsid w:val="258A309D"/>
    <w:rsid w:val="25A3257C"/>
    <w:rsid w:val="25FE77D5"/>
    <w:rsid w:val="2686069C"/>
    <w:rsid w:val="26A854CB"/>
    <w:rsid w:val="272072C4"/>
    <w:rsid w:val="276351EC"/>
    <w:rsid w:val="27D15482"/>
    <w:rsid w:val="284364E1"/>
    <w:rsid w:val="294E2383"/>
    <w:rsid w:val="2A046301"/>
    <w:rsid w:val="2A4666D6"/>
    <w:rsid w:val="2AED6570"/>
    <w:rsid w:val="2B0B46BE"/>
    <w:rsid w:val="2B1B5E88"/>
    <w:rsid w:val="2BA87A96"/>
    <w:rsid w:val="2C0A036C"/>
    <w:rsid w:val="2C0D5884"/>
    <w:rsid w:val="2C232696"/>
    <w:rsid w:val="2C8340C5"/>
    <w:rsid w:val="2C852B01"/>
    <w:rsid w:val="2CBA2A7B"/>
    <w:rsid w:val="2D0A5DFB"/>
    <w:rsid w:val="2D120FCD"/>
    <w:rsid w:val="2D930DFA"/>
    <w:rsid w:val="2DF53D9B"/>
    <w:rsid w:val="2E2B328D"/>
    <w:rsid w:val="2F346A6B"/>
    <w:rsid w:val="2F673CBB"/>
    <w:rsid w:val="2F89658F"/>
    <w:rsid w:val="2FB36DEE"/>
    <w:rsid w:val="3029789C"/>
    <w:rsid w:val="30825407"/>
    <w:rsid w:val="30A106AF"/>
    <w:rsid w:val="30FC3D11"/>
    <w:rsid w:val="31091EAD"/>
    <w:rsid w:val="31CD1358"/>
    <w:rsid w:val="31D2478C"/>
    <w:rsid w:val="32B465B5"/>
    <w:rsid w:val="331C02B8"/>
    <w:rsid w:val="33247514"/>
    <w:rsid w:val="33AF6117"/>
    <w:rsid w:val="3573530A"/>
    <w:rsid w:val="36454D39"/>
    <w:rsid w:val="366F7CC5"/>
    <w:rsid w:val="37266CB9"/>
    <w:rsid w:val="37E149B9"/>
    <w:rsid w:val="382E73F7"/>
    <w:rsid w:val="38677DE5"/>
    <w:rsid w:val="38ED2BFF"/>
    <w:rsid w:val="39156E2C"/>
    <w:rsid w:val="391D17B8"/>
    <w:rsid w:val="39997D3A"/>
    <w:rsid w:val="3AA20A6C"/>
    <w:rsid w:val="3AE636FF"/>
    <w:rsid w:val="3AEF7D87"/>
    <w:rsid w:val="3B846C74"/>
    <w:rsid w:val="3C9A6A7E"/>
    <w:rsid w:val="3D1F6627"/>
    <w:rsid w:val="3D8A15FD"/>
    <w:rsid w:val="3E1E76C3"/>
    <w:rsid w:val="3E754A21"/>
    <w:rsid w:val="3E800A96"/>
    <w:rsid w:val="3EAB7C26"/>
    <w:rsid w:val="3EE70688"/>
    <w:rsid w:val="3EF17A5A"/>
    <w:rsid w:val="41371874"/>
    <w:rsid w:val="413D1168"/>
    <w:rsid w:val="41696442"/>
    <w:rsid w:val="42184501"/>
    <w:rsid w:val="43723AD6"/>
    <w:rsid w:val="440C43B6"/>
    <w:rsid w:val="441B7D8D"/>
    <w:rsid w:val="447B550D"/>
    <w:rsid w:val="449643CE"/>
    <w:rsid w:val="44C81DD7"/>
    <w:rsid w:val="44D03C08"/>
    <w:rsid w:val="44F81D22"/>
    <w:rsid w:val="45ED6AB3"/>
    <w:rsid w:val="4644760A"/>
    <w:rsid w:val="4657329F"/>
    <w:rsid w:val="46964CDC"/>
    <w:rsid w:val="470A66F8"/>
    <w:rsid w:val="47737CEA"/>
    <w:rsid w:val="48760E2E"/>
    <w:rsid w:val="4952772B"/>
    <w:rsid w:val="49893A98"/>
    <w:rsid w:val="49BA4851"/>
    <w:rsid w:val="4A2F54A8"/>
    <w:rsid w:val="4A411787"/>
    <w:rsid w:val="4ADB4A06"/>
    <w:rsid w:val="4B931D5F"/>
    <w:rsid w:val="4BE74655"/>
    <w:rsid w:val="4BFF0994"/>
    <w:rsid w:val="4CF4555B"/>
    <w:rsid w:val="4E1B6E5C"/>
    <w:rsid w:val="4EEE64A0"/>
    <w:rsid w:val="4F1F7849"/>
    <w:rsid w:val="4F946A30"/>
    <w:rsid w:val="4FFF1C09"/>
    <w:rsid w:val="5099480B"/>
    <w:rsid w:val="50A049CF"/>
    <w:rsid w:val="50B92847"/>
    <w:rsid w:val="51C22D24"/>
    <w:rsid w:val="51D57F82"/>
    <w:rsid w:val="51E0362C"/>
    <w:rsid w:val="51ED03F8"/>
    <w:rsid w:val="520008F6"/>
    <w:rsid w:val="526D5EEE"/>
    <w:rsid w:val="52DF17A7"/>
    <w:rsid w:val="54F52FF6"/>
    <w:rsid w:val="561A404C"/>
    <w:rsid w:val="56674F26"/>
    <w:rsid w:val="568E00B9"/>
    <w:rsid w:val="58B12913"/>
    <w:rsid w:val="59AF1931"/>
    <w:rsid w:val="59D13DB8"/>
    <w:rsid w:val="59F45640"/>
    <w:rsid w:val="5AA64E51"/>
    <w:rsid w:val="5B0724B8"/>
    <w:rsid w:val="5B3719CD"/>
    <w:rsid w:val="5B7B0CB9"/>
    <w:rsid w:val="5B843528"/>
    <w:rsid w:val="5B8E1BB9"/>
    <w:rsid w:val="5BFB1835"/>
    <w:rsid w:val="5C213C24"/>
    <w:rsid w:val="5C476E58"/>
    <w:rsid w:val="5C5966F3"/>
    <w:rsid w:val="5D2462C4"/>
    <w:rsid w:val="5D965C2D"/>
    <w:rsid w:val="5DD6280E"/>
    <w:rsid w:val="5E242524"/>
    <w:rsid w:val="5E572DB6"/>
    <w:rsid w:val="5EA617A8"/>
    <w:rsid w:val="5F6E2AEB"/>
    <w:rsid w:val="5FBF2A58"/>
    <w:rsid w:val="5FF714B5"/>
    <w:rsid w:val="607D5861"/>
    <w:rsid w:val="61052672"/>
    <w:rsid w:val="61A5051B"/>
    <w:rsid w:val="61EC29F6"/>
    <w:rsid w:val="62431D9B"/>
    <w:rsid w:val="626C525E"/>
    <w:rsid w:val="62FB0B96"/>
    <w:rsid w:val="63FF3677"/>
    <w:rsid w:val="6505246E"/>
    <w:rsid w:val="65091A92"/>
    <w:rsid w:val="654110B2"/>
    <w:rsid w:val="65454DDB"/>
    <w:rsid w:val="659A1CDE"/>
    <w:rsid w:val="65AB2046"/>
    <w:rsid w:val="65FFEDC4"/>
    <w:rsid w:val="665F5935"/>
    <w:rsid w:val="678248D8"/>
    <w:rsid w:val="67E13409"/>
    <w:rsid w:val="681C681E"/>
    <w:rsid w:val="689A6FBB"/>
    <w:rsid w:val="69291C6A"/>
    <w:rsid w:val="69B4621B"/>
    <w:rsid w:val="6A990AE1"/>
    <w:rsid w:val="6B316B63"/>
    <w:rsid w:val="6B73624D"/>
    <w:rsid w:val="6BF019CD"/>
    <w:rsid w:val="6BFF40FF"/>
    <w:rsid w:val="6C1329B9"/>
    <w:rsid w:val="6C300C18"/>
    <w:rsid w:val="6C4B34B5"/>
    <w:rsid w:val="6CD90020"/>
    <w:rsid w:val="6DF5A32B"/>
    <w:rsid w:val="6E20520A"/>
    <w:rsid w:val="6E7B6AD8"/>
    <w:rsid w:val="6EF15718"/>
    <w:rsid w:val="6F0729EC"/>
    <w:rsid w:val="6F98360C"/>
    <w:rsid w:val="6FB90873"/>
    <w:rsid w:val="6FD60973"/>
    <w:rsid w:val="70CE76B8"/>
    <w:rsid w:val="71AF512B"/>
    <w:rsid w:val="71C34CC9"/>
    <w:rsid w:val="7209409D"/>
    <w:rsid w:val="72D70ECE"/>
    <w:rsid w:val="730C5340"/>
    <w:rsid w:val="736E715B"/>
    <w:rsid w:val="737F6A4B"/>
    <w:rsid w:val="73E81750"/>
    <w:rsid w:val="741F6DA1"/>
    <w:rsid w:val="74344B6D"/>
    <w:rsid w:val="7444138D"/>
    <w:rsid w:val="74DB692B"/>
    <w:rsid w:val="750234A2"/>
    <w:rsid w:val="75213BF4"/>
    <w:rsid w:val="75284BA7"/>
    <w:rsid w:val="759B0F30"/>
    <w:rsid w:val="75A444B5"/>
    <w:rsid w:val="75A93791"/>
    <w:rsid w:val="75BA78F8"/>
    <w:rsid w:val="75E65F5C"/>
    <w:rsid w:val="76207C98"/>
    <w:rsid w:val="763E5994"/>
    <w:rsid w:val="76D10892"/>
    <w:rsid w:val="779F18A4"/>
    <w:rsid w:val="77A07B90"/>
    <w:rsid w:val="77B32E70"/>
    <w:rsid w:val="77B65D05"/>
    <w:rsid w:val="77CA339E"/>
    <w:rsid w:val="77EB6CE7"/>
    <w:rsid w:val="789C5822"/>
    <w:rsid w:val="79296F72"/>
    <w:rsid w:val="799A7BF0"/>
    <w:rsid w:val="7A054B71"/>
    <w:rsid w:val="7A217A1B"/>
    <w:rsid w:val="7A6F6EF0"/>
    <w:rsid w:val="7A995537"/>
    <w:rsid w:val="7AD8661A"/>
    <w:rsid w:val="7BED321C"/>
    <w:rsid w:val="7C9C0697"/>
    <w:rsid w:val="7D2B6198"/>
    <w:rsid w:val="7DE57D9F"/>
    <w:rsid w:val="7DF7A6A1"/>
    <w:rsid w:val="7DFBFBFF"/>
    <w:rsid w:val="7E292A63"/>
    <w:rsid w:val="7E3E5331"/>
    <w:rsid w:val="7ED154BD"/>
    <w:rsid w:val="7EE962BF"/>
    <w:rsid w:val="7F520F57"/>
    <w:rsid w:val="7F545AA3"/>
    <w:rsid w:val="AFDF393A"/>
    <w:rsid w:val="BDFFD37B"/>
    <w:rsid w:val="DDDB7054"/>
    <w:rsid w:val="DEFFA4ED"/>
    <w:rsid w:val="F76F6040"/>
    <w:rsid w:val="FACC2354"/>
    <w:rsid w:val="FDDDF908"/>
    <w:rsid w:val="FFA97B51"/>
    <w:rsid w:val="FFE66F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lang w:val="zh-CN"/>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2"/>
    <w:basedOn w:val="1"/>
    <w:qFormat/>
    <w:uiPriority w:val="0"/>
    <w:pPr>
      <w:spacing w:line="520" w:lineRule="exact"/>
      <w:jc w:val="center"/>
    </w:pPr>
    <w:rPr>
      <w:b/>
      <w:bCs/>
      <w:sz w:val="36"/>
    </w:rPr>
  </w:style>
  <w:style w:type="paragraph" w:styleId="4">
    <w:name w:val="Balloon Text"/>
    <w:basedOn w:val="1"/>
    <w:link w:val="12"/>
    <w:qFormat/>
    <w:uiPriority w:val="0"/>
    <w:rPr>
      <w:sz w:val="18"/>
      <w:szCs w:val="18"/>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9">
    <w:name w:val="List Paragraph"/>
    <w:basedOn w:val="1"/>
    <w:link w:val="11"/>
    <w:qFormat/>
    <w:uiPriority w:val="34"/>
    <w:pPr>
      <w:ind w:firstLine="420" w:firstLineChars="200"/>
    </w:pPr>
    <w:rPr>
      <w:lang w:val="zh-CN"/>
    </w:rPr>
  </w:style>
  <w:style w:type="paragraph" w:customStyle="1" w:styleId="10">
    <w:name w:val="图表标题"/>
    <w:basedOn w:val="1"/>
    <w:qFormat/>
    <w:uiPriority w:val="99"/>
    <w:pPr>
      <w:wordWrap w:val="0"/>
      <w:overflowPunct w:val="0"/>
      <w:topLinePunct/>
      <w:spacing w:line="440" w:lineRule="exact"/>
      <w:jc w:val="center"/>
    </w:pPr>
    <w:rPr>
      <w:rFonts w:ascii="黑体" w:eastAsia="黑体"/>
      <w:kern w:val="28"/>
      <w:sz w:val="24"/>
      <w:szCs w:val="21"/>
      <w:lang w:val="zh-CN"/>
    </w:rPr>
  </w:style>
  <w:style w:type="character" w:customStyle="1" w:styleId="11">
    <w:name w:val="列出段落 字符"/>
    <w:link w:val="9"/>
    <w:qFormat/>
    <w:uiPriority w:val="34"/>
    <w:rPr>
      <w:rFonts w:asciiTheme="minorHAnsi" w:hAnsiTheme="minorHAnsi" w:eastAsiaTheme="minorEastAsia" w:cstheme="minorBidi"/>
      <w:kern w:val="2"/>
      <w:sz w:val="21"/>
      <w:szCs w:val="24"/>
      <w:lang w:val="zh-CN"/>
    </w:rPr>
  </w:style>
  <w:style w:type="character" w:customStyle="1" w:styleId="12">
    <w:name w:val="批注框文本 字符"/>
    <w:basedOn w:val="8"/>
    <w:link w:val="4"/>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chart" Target="charts/chart2.xml"/><Relationship Id="rId8" Type="http://schemas.openxmlformats.org/officeDocument/2006/relationships/chart" Target="charts/chart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2" Type="http://schemas.openxmlformats.org/officeDocument/2006/relationships/fontTable" Target="fontTable.xml"/><Relationship Id="rId41" Type="http://schemas.openxmlformats.org/officeDocument/2006/relationships/numbering" Target="numbering.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chart" Target="charts/chart32.xml"/><Relationship Id="rId38" Type="http://schemas.openxmlformats.org/officeDocument/2006/relationships/chart" Target="charts/chart31.xml"/><Relationship Id="rId37" Type="http://schemas.openxmlformats.org/officeDocument/2006/relationships/chart" Target="charts/chart30.xml"/><Relationship Id="rId36" Type="http://schemas.openxmlformats.org/officeDocument/2006/relationships/chart" Target="charts/chart29.xml"/><Relationship Id="rId35" Type="http://schemas.openxmlformats.org/officeDocument/2006/relationships/chart" Target="charts/chart28.xml"/><Relationship Id="rId34" Type="http://schemas.openxmlformats.org/officeDocument/2006/relationships/chart" Target="charts/chart27.xml"/><Relationship Id="rId33" Type="http://schemas.openxmlformats.org/officeDocument/2006/relationships/chart" Target="charts/chart26.xml"/><Relationship Id="rId32" Type="http://schemas.openxmlformats.org/officeDocument/2006/relationships/chart" Target="charts/chart25.xml"/><Relationship Id="rId31" Type="http://schemas.openxmlformats.org/officeDocument/2006/relationships/chart" Target="charts/chart24.xml"/><Relationship Id="rId30" Type="http://schemas.openxmlformats.org/officeDocument/2006/relationships/chart" Target="charts/chart23.xml"/><Relationship Id="rId3" Type="http://schemas.openxmlformats.org/officeDocument/2006/relationships/header" Target="header1.xml"/><Relationship Id="rId29" Type="http://schemas.openxmlformats.org/officeDocument/2006/relationships/chart" Target="charts/chart22.xml"/><Relationship Id="rId28" Type="http://schemas.openxmlformats.org/officeDocument/2006/relationships/chart" Target="charts/chart21.xml"/><Relationship Id="rId27" Type="http://schemas.openxmlformats.org/officeDocument/2006/relationships/chart" Target="charts/chart20.xml"/><Relationship Id="rId26" Type="http://schemas.openxmlformats.org/officeDocument/2006/relationships/chart" Target="charts/chart19.xml"/><Relationship Id="rId25" Type="http://schemas.openxmlformats.org/officeDocument/2006/relationships/chart" Target="charts/chart18.xml"/><Relationship Id="rId24" Type="http://schemas.openxmlformats.org/officeDocument/2006/relationships/chart" Target="charts/chart17.xml"/><Relationship Id="rId23" Type="http://schemas.openxmlformats.org/officeDocument/2006/relationships/chart" Target="charts/chart16.xml"/><Relationship Id="rId22" Type="http://schemas.openxmlformats.org/officeDocument/2006/relationships/chart" Target="charts/chart15.xml"/><Relationship Id="rId21" Type="http://schemas.openxmlformats.org/officeDocument/2006/relationships/chart" Target="charts/chart14.xml"/><Relationship Id="rId20" Type="http://schemas.openxmlformats.org/officeDocument/2006/relationships/chart" Target="charts/chart13.xml"/><Relationship Id="rId2" Type="http://schemas.openxmlformats.org/officeDocument/2006/relationships/settings" Target="settings.xml"/><Relationship Id="rId19" Type="http://schemas.openxmlformats.org/officeDocument/2006/relationships/chart" Target="charts/chart12.xml"/><Relationship Id="rId18" Type="http://schemas.openxmlformats.org/officeDocument/2006/relationships/chart" Target="charts/chart11.xml"/><Relationship Id="rId17" Type="http://schemas.openxmlformats.org/officeDocument/2006/relationships/chart" Target="charts/chart10.xml"/><Relationship Id="rId16" Type="http://schemas.openxmlformats.org/officeDocument/2006/relationships/chart" Target="charts/chart9.xml"/><Relationship Id="rId15" Type="http://schemas.openxmlformats.org/officeDocument/2006/relationships/chart" Target="charts/chart8.xml"/><Relationship Id="rId14" Type="http://schemas.openxmlformats.org/officeDocument/2006/relationships/chart" Target="charts/chart7.xml"/><Relationship Id="rId13" Type="http://schemas.openxmlformats.org/officeDocument/2006/relationships/chart" Target="charts/chart6.xml"/><Relationship Id="rId12" Type="http://schemas.openxmlformats.org/officeDocument/2006/relationships/chart" Target="charts/chart5.xml"/><Relationship Id="rId11" Type="http://schemas.openxmlformats.org/officeDocument/2006/relationships/chart" Target="charts/chart4.xml"/><Relationship Id="rId10" Type="http://schemas.openxmlformats.org/officeDocument/2006/relationships/chart" Target="charts/chart3.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D:\NAS&#20849;&#20139;&#25991;&#20214;\2022&#24180;&#38738;&#28006;&#21306;&#29983;&#24577;&#29615;&#22659;&#36136;&#37327;&#25253;&#21578;\2022&#24180;&#38738;&#28006;&#21306;&#29983;&#24577;&#29615;&#22659;&#36136;&#37327;&#25253;&#21578;\&#25552;&#20379;&#36164;&#26009;\&#29615;&#22659;&#31354;&#27668;\&#20844;&#25253;&#20316;&#22270;.xlsx" TargetMode="External"/></Relationships>
</file>

<file path=word/charts/_rels/chart2.xml.rels><?xml version="1.0" encoding="UTF-8" standalone="yes"?>
<Relationships xmlns="http://schemas.openxmlformats.org/package/2006/relationships"><Relationship Id="rId2" Type="http://schemas.openxmlformats.org/officeDocument/2006/relationships/themeOverride" Target="../theme/themeOverride1.xml"/><Relationship Id="rId1" Type="http://schemas.openxmlformats.org/officeDocument/2006/relationships/oleObject" Target="file:///D:\NAS&#20849;&#20139;&#25991;&#20214;\2022&#24180;&#38738;&#28006;&#21306;&#29983;&#24577;&#29615;&#22659;&#36136;&#37327;&#25253;&#21578;\2022&#24180;&#38738;&#28006;&#21306;&#29983;&#24577;&#29615;&#22659;&#36136;&#37327;&#25253;&#21578;\2021&#24180;&#36136;&#37327;&#25253;&#21578;&#20070;-&#34917;&#20805;&#25968;&#25454;&#65288;&#23454;&#20917;&#6528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NAS&#20849;&#20139;&#25991;&#20214;\2022&#24180;&#38738;&#28006;&#21306;&#29983;&#24577;&#29615;&#22659;&#36136;&#37327;&#25253;&#21578;\2022&#24180;&#38738;&#28006;&#21306;&#29983;&#24577;&#29615;&#22659;&#36136;&#37327;&#25253;&#21578;\&#25552;&#20379;&#36164;&#26009;\&#29615;&#22659;&#31354;&#27668;\&#20844;&#25253;&#20316;&#22270;.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NAS&#20849;&#20139;&#25991;&#20214;\2022&#24180;&#38738;&#28006;&#21306;&#29983;&#24577;&#29615;&#22659;&#36136;&#37327;&#25253;&#21578;\2022&#24180;&#38738;&#28006;&#21306;&#29983;&#24577;&#29615;&#22659;&#36136;&#37327;&#25253;&#21578;\&#25552;&#20379;&#36164;&#26009;\&#29615;&#22659;&#31354;&#27668;\&#20844;&#25253;&#20316;&#22270;.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NAS&#20849;&#20139;&#25991;&#20214;\2022&#24180;&#38738;&#28006;&#21306;&#29983;&#24577;&#29615;&#22659;&#36136;&#37327;&#25253;&#21578;\2022&#24180;&#38738;&#28006;&#21306;&#29983;&#24577;&#29615;&#22659;&#36136;&#37327;&#25253;&#21578;\&#25552;&#20379;&#36164;&#26009;\&#29615;&#22659;&#31354;&#27668;\&#20844;&#25253;&#20316;&#22270;.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NAS&#20849;&#20139;&#25991;&#20214;\2022&#24180;&#38738;&#28006;&#21306;&#29983;&#24577;&#29615;&#22659;&#36136;&#37327;&#25253;&#21578;\2022&#24180;&#38738;&#28006;&#21306;&#29983;&#24577;&#29615;&#22659;&#36136;&#37327;&#25253;&#21578;\&#25552;&#20379;&#36164;&#26009;\&#29615;&#22659;&#31354;&#27668;\&#20844;&#25253;&#20316;&#22270;.xlsx"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lenovo\Documents\WeChat%20Files\wxid_373g0xxit53y21\FileStorage\File\2022-03\&#20844;&#25253;&#20316;&#22270;.xlsx" TargetMode="External"/></Relationships>
</file>

<file path=word/charts/_rels/chart8.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lenovo\Documents\WeChat%20Files\wxid_373g0xxit53y21\FileStorage\File\2022-03\&#20844;&#25253;&#20316;&#22270;.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NAS&#20849;&#20139;&#25991;&#20214;\2022&#24180;&#38738;&#28006;&#21306;&#29983;&#24577;&#29615;&#22659;&#36136;&#37327;&#25253;&#21578;\2022&#24180;&#38738;&#28006;&#21306;&#29983;&#24577;&#29615;&#22659;&#36136;&#37327;&#25253;&#21578;\&#25552;&#20379;&#36164;&#26009;\&#29615;&#22659;&#31354;&#27668;\&#20844;&#25253;&#20316;&#22270;.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NAS&#20849;&#20139;&#25991;&#20214;\2022&#24180;&#38738;&#28006;&#21306;&#29983;&#24577;&#29615;&#22659;&#36136;&#37327;&#25253;&#21578;\2022&#24180;&#38738;&#28006;&#21306;&#29983;&#24577;&#29615;&#22659;&#36136;&#37327;&#25253;&#21578;\&#25552;&#20379;&#36164;&#26009;\&#29615;&#22659;&#31354;&#27668;\&#20844;&#25253;&#20316;&#22270;.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NAS&#20849;&#20139;&#25991;&#20214;\2022&#24180;&#38738;&#28006;&#21306;&#29983;&#24577;&#29615;&#22659;&#36136;&#37327;&#25253;&#21578;\2022&#24180;&#38738;&#28006;&#21306;&#29983;&#24577;&#29615;&#22659;&#36136;&#37327;&#25253;&#21578;\&#25552;&#20379;&#36164;&#26009;\&#29615;&#22659;&#31354;&#27668;\&#20844;&#25253;&#20316;&#22270;.xlsx" TargetMode="External"/></Relationships>
</file>

<file path=word/charts/_rels/chart1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C:\Users\lenovo\Documents\WeChat%20Files\wxid_373g0xxit53y21\FileStorage\File\2022-03\&#20844;&#25253;&#20316;&#22270;.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D:\NAS&#20849;&#20139;&#25991;&#20214;\2022&#24180;&#38738;&#28006;&#21306;&#29983;&#24577;&#29615;&#22659;&#36136;&#37327;&#25253;&#21578;\2022&#24180;&#38738;&#28006;&#21306;&#29983;&#24577;&#29615;&#22659;&#36136;&#37327;&#25253;&#21578;\&#25552;&#20379;&#36164;&#26009;\&#29615;&#22659;&#31354;&#27668;\&#20844;&#25253;&#20316;&#22270;.xlsx" TargetMode="External"/></Relationships>
</file>

<file path=word/charts/_rels/chart1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C:\Users\lenovo\Documents\WeChat%20Files\wxid_373g0xxit53y21\FileStorage\File\2022-03\&#20844;&#25253;&#20316;&#22270;.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D:\NAS&#20849;&#20139;&#25991;&#20214;\2022&#24180;&#38738;&#28006;&#21306;&#29983;&#24577;&#29615;&#22659;&#36136;&#37327;&#25253;&#21578;\2022&#24180;&#38738;&#28006;&#21306;&#29983;&#24577;&#29615;&#22659;&#36136;&#37327;&#25253;&#21578;\&#25552;&#20379;&#36164;&#26009;\&#29615;&#22659;&#31354;&#27668;\&#20844;&#25253;&#20316;&#22270;.xlsx" TargetMode="External"/></Relationships>
</file>

<file path=word/charts/_rels/chart16.xml.rels><?xml version="1.0" encoding="UTF-8" standalone="yes"?>
<Relationships xmlns="http://schemas.openxmlformats.org/package/2006/relationships"><Relationship Id="rId2" Type="http://schemas.openxmlformats.org/officeDocument/2006/relationships/themeOverride" Target="../theme/themeOverride2.xml"/><Relationship Id="rId1" Type="http://schemas.openxmlformats.org/officeDocument/2006/relationships/oleObject" Target="file:///D:\NAS&#20849;&#20139;&#25991;&#20214;\2022&#24180;&#38738;&#28006;&#21306;&#29983;&#24577;&#29615;&#22659;&#36136;&#37327;&#25253;&#21578;\2022&#24180;&#38738;&#28006;&#21306;&#29983;&#24577;&#29615;&#22659;&#36136;&#37327;&#25253;&#21578;\2021&#24180;&#36136;&#37327;&#25253;&#21578;&#20070;-&#34917;&#20805;&#25968;&#25454;&#65288;&#23454;&#20917;&#65289;.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D:\&#29579;&#23567;&#27905;\4%202022&#24037;&#20316;\3%20&#29615;&#22659;&#36136;&#37327;&#20844;&#25253;\1%20&#38738;&#28006;&#21306;&#29615;&#22659;&#36136;&#37327;&#20844;&#25253;\2%20&#25968;&#25454;&#22788;&#29702;\4%20&#31532;&#22235;&#31456;%20&#38477;&#27700;\&#25968;&#25454;&#22788;&#29702;--&#31532;&#22235;&#31456;&#38477;&#27700;.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D:\&#29579;&#23567;&#27905;\4%202022&#24037;&#20316;\3%20&#29615;&#22659;&#36136;&#37327;&#20844;&#25253;\1%20&#38738;&#28006;&#21306;&#29615;&#22659;&#36136;&#37327;&#20844;&#25253;\2%20&#25968;&#25454;&#22788;&#29702;\4%20&#31532;&#22235;&#31456;%20&#38477;&#27700;\&#25968;&#25454;&#22788;&#29702;--&#31532;&#22235;&#31456;&#38477;&#27700;.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Administrator.DESKTOP-7B32T4T\Desktop\&#26032;&#24314;%20XLSX%20&#24037;&#20316;&#34920;.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Administrator.DESKTOP-7B32T4T\Desktop\&#26032;&#24314;%20XLSX%20&#24037;&#20316;&#34920;.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F:\20220311\&#26032;&#24314;%20XLSX%20&#24037;&#20316;&#34920;.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D:\&#39033;&#30446;&#36164;&#26009;\&#30740;&#21457;&#25299;&#23637;\&#29615;&#22659;&#36136;&#37327;&#25253;&#21578;\&#38738;&#28006;\2021&#24180;&#36136;&#37327;&#25253;&#21578;\&#22122;&#22768;\&#38738;&#28006;&#36136;&#37327;&#25253;&#21578;&#38656;&#25552;&#20379;&#25968;&#25454;-&#22122;&#22768;V1.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D:\&#39033;&#30446;&#36164;&#26009;\&#30740;&#21457;&#25299;&#23637;\&#29615;&#22659;&#36136;&#37327;&#25253;&#21578;\&#38271;&#19977;&#35282;\&#22122;&#22768;\&#38271;&#19977;&#35282;&#36136;&#37327;&#25253;&#21578;&#38656;&#25552;&#20379;&#25968;&#25454;-&#22122;&#22768;V2.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D:\&#39033;&#30446;&#36164;&#26009;\&#30740;&#21457;&#25299;&#23637;\&#29615;&#22659;&#36136;&#37327;&#25253;&#21578;\&#38271;&#19977;&#35282;\&#22122;&#22768;\&#38271;&#19977;&#35282;&#36136;&#37327;&#25253;&#21578;&#38656;&#25552;&#20379;&#25968;&#25454;-&#22122;&#22768;V2.xlsx" TargetMode="External"/></Relationships>
</file>

<file path=word/charts/_rels/chart2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embeddings/oleObject1.bin"/></Relationships>
</file>

<file path=word/charts/_rels/chart26.xml.rels><?xml version="1.0" encoding="UTF-8" standalone="yes"?>
<Relationships xmlns="http://schemas.openxmlformats.org/package/2006/relationships"><Relationship Id="rId1" Type="http://schemas.openxmlformats.org/officeDocument/2006/relationships/oleObject" Target="file:///D:\&#39033;&#30446;&#36164;&#26009;\&#30740;&#21457;&#25299;&#23637;\&#29615;&#22659;&#36136;&#37327;&#25253;&#21578;\&#38738;&#28006;\2021&#24180;&#36136;&#37327;&#25253;&#21578;\&#22122;&#22768;\&#38738;&#28006;&#36136;&#37327;&#25253;&#21578;&#38656;&#25552;&#20379;&#25968;&#25454;-&#22122;&#22768;V1.xlsx" TargetMode="External"/></Relationships>
</file>

<file path=word/charts/_rels/chart27.xml.rels><?xml version="1.0" encoding="UTF-8" standalone="yes"?>
<Relationships xmlns="http://schemas.openxmlformats.org/package/2006/relationships"><Relationship Id="rId1" Type="http://schemas.openxmlformats.org/officeDocument/2006/relationships/oleObject" Target="file:///D:\&#39033;&#30446;&#36164;&#26009;\&#30740;&#21457;&#25299;&#23637;\&#29615;&#22659;&#36136;&#37327;&#25253;&#21578;\&#38271;&#19977;&#35282;\&#22122;&#22768;\&#38271;&#19977;&#35282;&#36136;&#37327;&#25253;&#21578;&#38656;&#25552;&#20379;&#25968;&#25454;-&#22122;&#22768;V2.xlsx" TargetMode="External"/></Relationships>
</file>

<file path=word/charts/_rels/chart28.xml.rels><?xml version="1.0" encoding="UTF-8" standalone="yes"?>
<Relationships xmlns="http://schemas.openxmlformats.org/package/2006/relationships"><Relationship Id="rId1" Type="http://schemas.openxmlformats.org/officeDocument/2006/relationships/oleObject" Target="file:///D:\&#39033;&#30446;&#36164;&#26009;\&#30740;&#21457;&#25299;&#23637;\&#29615;&#22659;&#36136;&#37327;&#25253;&#21578;\&#38271;&#19977;&#35282;\&#22122;&#22768;\&#38271;&#19977;&#35282;&#36136;&#37327;&#25253;&#21578;&#38656;&#25552;&#20379;&#25968;&#25454;-&#22122;&#22768;V2.xlsx" TargetMode="External"/></Relationships>
</file>

<file path=word/charts/_rels/chart29.xml.rels><?xml version="1.0" encoding="UTF-8" standalone="yes"?>
<Relationships xmlns="http://schemas.openxmlformats.org/package/2006/relationships"><Relationship Id="rId1" Type="http://schemas.openxmlformats.org/officeDocument/2006/relationships/oleObject" Target="file:///D:\&#39033;&#30446;&#36164;&#26009;\&#30740;&#21457;&#25299;&#23637;\&#29615;&#22659;&#36136;&#37327;&#25253;&#21578;\&#38738;&#28006;\2021&#24180;&#36136;&#37327;&#25253;&#21578;\&#22122;&#22768;\&#38738;&#28006;&#36136;&#37327;&#25253;&#21578;&#38656;&#25552;&#20379;&#25968;&#25454;-&#22122;&#22768;V1.xlsx" TargetMode="External"/></Relationships>
</file>

<file path=word/charts/_rels/chart30.xml.rels><?xml version="1.0" encoding="UTF-8" standalone="yes"?>
<Relationships xmlns="http://schemas.openxmlformats.org/package/2006/relationships"><Relationship Id="rId1" Type="http://schemas.openxmlformats.org/officeDocument/2006/relationships/oleObject" Target="file:///D:\&#39033;&#30446;&#36164;&#26009;\&#30740;&#21457;&#25299;&#23637;\&#29615;&#22659;&#36136;&#37327;&#25253;&#21578;\&#38738;&#28006;\2021&#24180;&#36136;&#37327;&#25253;&#21578;\&#22122;&#22768;\&#38738;&#28006;&#36136;&#37327;&#25253;&#21578;&#38656;&#25552;&#20379;&#25968;&#25454;-&#22122;&#22768;V1.xlsx" TargetMode="External"/></Relationships>
</file>

<file path=word/charts/_rels/chart31.xml.rels><?xml version="1.0" encoding="UTF-8" standalone="yes"?>
<Relationships xmlns="http://schemas.openxmlformats.org/package/2006/relationships"><Relationship Id="rId4" Type="http://schemas.microsoft.com/office/2011/relationships/chartColorStyle" Target="colors6.xml"/><Relationship Id="rId3" Type="http://schemas.microsoft.com/office/2011/relationships/chartStyle" Target="style6.xml"/><Relationship Id="rId2" Type="http://schemas.openxmlformats.org/officeDocument/2006/relationships/themeOverride" Target="../theme/themeOverride3.xml"/><Relationship Id="rId1" Type="http://schemas.openxmlformats.org/officeDocument/2006/relationships/oleObject" Target="file:///D:\&#39033;&#30446;&#25171;&#21253;\&#29615;&#22659;&#36136;&#37327;&#25253;&#21578;\&#38738;&#28006;\&#20116;&#24180;&#25253;&#65288;&#21313;&#19977;&#20116;&#65289;&#25968;&#25454;-&#22303;&#22320;&#21033;&#29992;&#21644;EI.xlsx" TargetMode="External"/></Relationships>
</file>

<file path=word/charts/_rels/chart32.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D:\&#39033;&#30446;&#25171;&#21253;\&#29615;&#22659;&#36136;&#37327;&#25253;&#21578;\&#38738;&#28006;\&#20116;&#24180;&#25253;&#65288;&#21313;&#19977;&#20116;&#65289;&#25968;&#25454;-&#22303;&#22320;&#21033;&#29992;&#21644;EI.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81379990853416"/>
          <c:y val="0.0990853658536585"/>
          <c:w val="0.456123737373737"/>
          <c:h val="0.870426829268293"/>
        </c:manualLayout>
      </c:layout>
      <c:pieChart>
        <c:varyColors val="true"/>
        <c:ser>
          <c:idx val="0"/>
          <c:order val="0"/>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Lbls>
            <c:dLbl>
              <c:idx val="0"/>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1000" b="1" i="0" u="none" strike="noStrike" kern="1200" baseline="0">
                      <a:solidFill>
                        <a:schemeClr val="bg1"/>
                      </a:solidFill>
                      <a:latin typeface="+mn-lt"/>
                      <a:ea typeface="+mn-ea"/>
                      <a:cs typeface="+mn-cs"/>
                    </a:defRPr>
                  </a:pPr>
                </a:p>
              </c:txPr>
              <c:dLblPos val="bestFit"/>
              <c:showLegendKey val="false"/>
              <c:showVal val="true"/>
              <c:showCatName val="false"/>
              <c:showSerName val="false"/>
              <c:showPercent val="false"/>
              <c:showBubbleSize val="false"/>
              <c:extLst>
                <c:ext xmlns:c15="http://schemas.microsoft.com/office/drawing/2012/chart" uri="{CE6537A1-D6FC-4f65-9D91-7224C49458BB}"/>
              </c:extLst>
            </c:dLbl>
            <c:dLbl>
              <c:idx val="1"/>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1000" b="1" i="0" u="none" strike="noStrike" kern="1200" baseline="0">
                      <a:solidFill>
                        <a:schemeClr val="bg1"/>
                      </a:solidFill>
                      <a:latin typeface="+mn-lt"/>
                      <a:ea typeface="+mn-ea"/>
                      <a:cs typeface="+mn-cs"/>
                    </a:defRPr>
                  </a:pPr>
                </a:p>
              </c:txPr>
              <c:dLblPos val="bestFit"/>
              <c:showLegendKey val="false"/>
              <c:showVal val="true"/>
              <c:showCatName val="false"/>
              <c:showSerName val="false"/>
              <c:showPercent val="false"/>
              <c:showBubbleSize val="false"/>
              <c:extLst>
                <c:ext xmlns:c15="http://schemas.microsoft.com/office/drawing/2012/chart" uri="{CE6537A1-D6FC-4f65-9D91-7224C49458BB}"/>
              </c:extLst>
            </c:dLbl>
            <c:dLbl>
              <c:idx val="2"/>
              <c:layout>
                <c:manualLayout>
                  <c:x val="0.0145380701819855"/>
                  <c:y val="0.0383141762452107"/>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1000" b="1"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dLbl>
              <c:idx val="3"/>
              <c:layout>
                <c:manualLayout>
                  <c:x val="-0.000576632466396246"/>
                  <c:y val="0.00166389351081531"/>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1000" b="1"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true">
                <a:spAutoFit/>
              </a:bodyPr>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false"/>
            <c:showVal val="true"/>
            <c:showCatName val="fals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[公报作图.xlsx]Sheet1!$A$11:$A$14</c:f>
              <c:strCache>
                <c:ptCount val="4"/>
                <c:pt idx="0">
                  <c:v>优</c:v>
                </c:pt>
                <c:pt idx="1">
                  <c:v>良</c:v>
                </c:pt>
                <c:pt idx="2">
                  <c:v>轻度污染</c:v>
                </c:pt>
                <c:pt idx="3">
                  <c:v>中度污染</c:v>
                </c:pt>
              </c:strCache>
            </c:strRef>
          </c:cat>
          <c:val>
            <c:numRef>
              <c:f>[公报作图.xlsx]Sheet1!$C$11:$C$14</c:f>
              <c:numCache>
                <c:formatCode>0.0%</c:formatCode>
                <c:ptCount val="4"/>
                <c:pt idx="0">
                  <c:v>0.287671232876712</c:v>
                </c:pt>
                <c:pt idx="1">
                  <c:v>0.605479452054794</c:v>
                </c:pt>
                <c:pt idx="2">
                  <c:v>0.104109589041096</c:v>
                </c:pt>
                <c:pt idx="3">
                  <c:v>0.00273972602739726</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r"/>
      <c:layout>
        <c:manualLayout>
          <c:xMode val="edge"/>
          <c:yMode val="edge"/>
          <c:x val="0.632382729410009"/>
          <c:y val="0.253250067879446"/>
          <c:w val="0.228653662610355"/>
          <c:h val="0.509746679715401"/>
        </c:manualLayout>
      </c:layout>
      <c:overlay val="false"/>
      <c:spPr>
        <a:noFill/>
        <a:ln>
          <a:noFill/>
        </a:ln>
        <a:effectLst/>
      </c:spPr>
      <c:txPr>
        <a:bodyPr rot="0" spcFirstLastPara="1" vertOverflow="ellipsis" vert="horz" wrap="square" anchor="ctr" anchorCtr="true"/>
        <a:lstStyle/>
        <a:p>
          <a:pPr>
            <a:defRPr lang="zh-CN" sz="1100" b="0" i="0" u="none" strike="noStrike" kern="1200" baseline="0">
              <a:solidFill>
                <a:schemeClr val="tx1">
                  <a:lumMod val="65000"/>
                  <a:lumOff val="35000"/>
                </a:schemeClr>
              </a:solidFill>
              <a:latin typeface="+mn-lt"/>
              <a:ea typeface="+mn-ea"/>
              <a:cs typeface="+mn-cs"/>
            </a:defRPr>
          </a:pPr>
        </a:p>
      </c:txPr>
    </c:legend>
    <c:plotVisOnly val="true"/>
    <c:dispBlanksAs val="zero"/>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00223484943774999"/>
          <c:y val="0.0589997652575357"/>
          <c:w val="0.995961107896656"/>
          <c:h val="0.93996678828838"/>
        </c:manualLayout>
      </c:layout>
      <c:pieChart>
        <c:varyColors val="true"/>
        <c:ser>
          <c:idx val="0"/>
          <c:order val="0"/>
          <c:explosion val="0"/>
          <c:dPt>
            <c:idx val="0"/>
            <c:bubble3D val="false"/>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false"/>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false"/>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false"/>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0.135782747603834"/>
                  <c:y val="0.0883327199116672"/>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1000" b="1" i="0" u="none" strike="noStrike" kern="1200" spc="0" baseline="0">
                      <a:solidFill>
                        <a:schemeClr val="bg1"/>
                      </a:solidFill>
                      <a:latin typeface="+mn-lt"/>
                      <a:ea typeface="+mn-ea"/>
                      <a:cs typeface="+mn-cs"/>
                    </a:defRPr>
                  </a:pPr>
                </a:p>
              </c:txPr>
              <c:dLblPos val="outEnd"/>
              <c:showLegendKey val="false"/>
              <c:showVal val="false"/>
              <c:showCatName val="true"/>
              <c:showSerName val="false"/>
              <c:showPercent val="false"/>
              <c:showBubbleSize val="false"/>
              <c:extLst>
                <c:ext xmlns:c15="http://schemas.microsoft.com/office/drawing/2012/chart" uri="{CE6537A1-D6FC-4f65-9D91-7224C49458BB}">
                  <c15:layout/>
                </c:ext>
              </c:extLst>
            </c:dLbl>
            <c:dLbl>
              <c:idx val="1"/>
              <c:layout>
                <c:manualLayout>
                  <c:x val="-0.0798722044728434"/>
                  <c:y val="-0.309164519690836"/>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1000" b="1" i="0" u="none" strike="noStrike" kern="1200" spc="0" baseline="0">
                      <a:solidFill>
                        <a:schemeClr val="bg1"/>
                      </a:solidFill>
                      <a:latin typeface="+mn-lt"/>
                      <a:ea typeface="+mn-ea"/>
                      <a:cs typeface="+mn-cs"/>
                    </a:defRPr>
                  </a:pPr>
                </a:p>
              </c:txPr>
              <c:dLblPos val="outEnd"/>
              <c:showLegendKey val="false"/>
              <c:showVal val="false"/>
              <c:showCatName val="true"/>
              <c:showSerName val="false"/>
              <c:showPercent val="false"/>
              <c:showBubbleSize val="false"/>
              <c:extLst>
                <c:ext xmlns:c15="http://schemas.microsoft.com/office/drawing/2012/chart" uri="{CE6537A1-D6FC-4f65-9D91-7224C49458BB}">
                  <c15:layout/>
                </c:ext>
              </c:extLst>
            </c:dLbl>
            <c:dLbl>
              <c:idx val="2"/>
              <c:layout>
                <c:manualLayout>
                  <c:x val="0.18370607028754"/>
                  <c:y val="0.0883327199116672"/>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1000" b="1" i="0" u="none" strike="noStrike" kern="1200" spc="0" baseline="0">
                      <a:solidFill>
                        <a:schemeClr val="bg1"/>
                      </a:solidFill>
                      <a:latin typeface="+mn-lt"/>
                      <a:ea typeface="+mn-ea"/>
                      <a:cs typeface="+mn-cs"/>
                    </a:defRPr>
                  </a:pPr>
                </a:p>
              </c:txPr>
              <c:dLblPos val="outEnd"/>
              <c:showLegendKey val="false"/>
              <c:showVal val="false"/>
              <c:showCatName val="true"/>
              <c:showSerName val="false"/>
              <c:showPercent val="false"/>
              <c:showBubbleSize val="false"/>
              <c:extLst>
                <c:ext xmlns:c15="http://schemas.microsoft.com/office/drawing/2012/chart" uri="{CE6537A1-D6FC-4f65-9D91-7224C49458BB}">
                  <c15:layout/>
                </c:ext>
              </c:extLst>
            </c:dLbl>
            <c:dLbl>
              <c:idx val="3"/>
              <c:layout>
                <c:manualLayout>
                  <c:x val="0.167731629392971"/>
                  <c:y val="0.0736105999263894"/>
                </c:manualLayout>
              </c:layout>
              <c:tx>
                <c:rich>
                  <a:bodyPr rot="0" spcFirstLastPara="1" vertOverflow="ellipsis" vert="horz" wrap="square" lIns="38100" tIns="19050" rIns="38100" bIns="19050" anchor="ctr" anchorCtr="true">
                    <a:spAutoFit/>
                  </a:bodyPr>
                  <a:lstStyle/>
                  <a:p>
                    <a:pPr>
                      <a:defRPr lang="zh-CN" sz="1000" b="1" i="0" u="none" strike="noStrike" kern="1200" spc="0" baseline="0">
                        <a:solidFill>
                          <a:schemeClr val="bg1"/>
                        </a:solidFill>
                        <a:latin typeface="+mn-lt"/>
                        <a:ea typeface="+mn-ea"/>
                        <a:cs typeface="+mn-cs"/>
                      </a:defRPr>
                    </a:pPr>
                    <a:r>
                      <a:rPr lang="en-US" altLang="en-US">
                        <a:solidFill>
                          <a:schemeClr val="bg1"/>
                        </a:solidFill>
                      </a:rPr>
                      <a:t>PM₂.₅，12.8%</a:t>
                    </a:r>
                    <a:endParaRPr lang="en-US" altLang="en-US">
                      <a:solidFill>
                        <a:schemeClr val="bg1"/>
                      </a:solidFill>
                    </a:endParaRPr>
                  </a:p>
                </c:rich>
              </c:tx>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1000" b="1" i="0" u="none" strike="noStrike" kern="1200" spc="0" baseline="0">
                      <a:solidFill>
                        <a:schemeClr val="bg1"/>
                      </a:solidFill>
                      <a:latin typeface="+mn-lt"/>
                      <a:ea typeface="+mn-ea"/>
                      <a:cs typeface="+mn-cs"/>
                    </a:defRPr>
                  </a:pPr>
                </a:p>
              </c:txPr>
              <c:dLblPos val="outEnd"/>
              <c:showLegendKey val="false"/>
              <c:showVal val="false"/>
              <c:showCatName val="tru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1000" b="1" i="0" u="none" strike="noStrike" kern="1200" spc="0" baseline="0">
                    <a:solidFill>
                      <a:schemeClr val="accent1"/>
                    </a:solidFill>
                    <a:latin typeface="+mn-lt"/>
                    <a:ea typeface="+mn-ea"/>
                    <a:cs typeface="+mn-cs"/>
                  </a:defRPr>
                </a:pPr>
              </a:p>
            </c:txPr>
            <c:dLblPos val="outEnd"/>
            <c:showLegendKey val="false"/>
            <c:showVal val="false"/>
            <c:showCatName val="tru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'[2021年质量报告书-补充数据（实况）.xlsx]Sheet1'!$H$24:$H$27</c:f>
              <c:strCache>
                <c:ptCount val="4"/>
                <c:pt idx="0">
                  <c:v>NO₂，15.4%</c:v>
                </c:pt>
                <c:pt idx="1">
                  <c:v>O₃，64.1%</c:v>
                </c:pt>
                <c:pt idx="2">
                  <c:v>PM₁₀,7.7%</c:v>
                </c:pt>
                <c:pt idx="3">
                  <c:v>PM₂․₅，12.8%</c:v>
                </c:pt>
              </c:strCache>
            </c:strRef>
          </c:cat>
          <c:val>
            <c:numRef>
              <c:f>'[2021年质量报告书-补充数据（实况）.xlsx]Sheet1'!$J$24:$J$27</c:f>
              <c:numCache>
                <c:formatCode>0.0%</c:formatCode>
                <c:ptCount val="4"/>
                <c:pt idx="0">
                  <c:v>0.153846153846154</c:v>
                </c:pt>
                <c:pt idx="1">
                  <c:v>0.641025641025641</c:v>
                </c:pt>
                <c:pt idx="2">
                  <c:v>0.0769230769230769</c:v>
                </c:pt>
                <c:pt idx="3">
                  <c:v>0.128205128205128</c:v>
                </c:pt>
              </c:numCache>
            </c:numRef>
          </c:val>
        </c:ser>
        <c:dLbls>
          <c:showLegendKey val="false"/>
          <c:showVal val="false"/>
          <c:showCatName val="true"/>
          <c:showSerName val="false"/>
          <c:showPercent val="false"/>
          <c:showBubbleSize val="false"/>
          <c:showLeaderLines val="true"/>
        </c:dLbls>
        <c:firstSliceAng val="0"/>
      </c:pieChart>
      <c:spPr>
        <a:noFill/>
        <a:ln>
          <a:noFill/>
        </a:ln>
        <a:effectLst/>
      </c:spPr>
    </c:plotArea>
    <c:plotVisOnly val="true"/>
    <c:dispBlanksAs val="zero"/>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62236745502984"/>
          <c:y val="0.0498383496455466"/>
          <c:w val="0.79746283317443"/>
          <c:h val="0.777171241445287"/>
        </c:manualLayout>
      </c:layout>
      <c:barChart>
        <c:barDir val="col"/>
        <c:grouping val="clustered"/>
        <c:varyColors val="false"/>
        <c:ser>
          <c:idx val="0"/>
          <c:order val="0"/>
          <c:tx>
            <c:strRef>
              <c:f>[公报作图.xlsx]Sheet1!$E$28</c:f>
              <c:strCache>
                <c:ptCount val="1"/>
                <c:pt idx="0">
                  <c:v>PM2.5</c:v>
                </c:pt>
              </c:strCache>
            </c:strRef>
          </c:tx>
          <c:spPr>
            <a:gradFill rotWithShape="true">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false"/>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1400" b="1" i="0" u="none" strike="noStrike" kern="1200" baseline="0">
                    <a:solidFill>
                      <a:schemeClr val="bg1"/>
                    </a:solidFill>
                    <a:latin typeface="Times New Roman" charset="0"/>
                    <a:ea typeface="+mn-ea"/>
                    <a:cs typeface="Times New Roman" charset="0"/>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[公报作图.xlsx]Sheet1!$F$27:$G$27</c:f>
              <c:strCache>
                <c:ptCount val="2"/>
                <c:pt idx="0">
                  <c:v>2020年</c:v>
                </c:pt>
                <c:pt idx="1">
                  <c:v>2021年</c:v>
                </c:pt>
              </c:strCache>
            </c:strRef>
          </c:cat>
          <c:val>
            <c:numRef>
              <c:f>[公报作图.xlsx]Sheet1!$F$28:$G$28</c:f>
              <c:numCache>
                <c:formatCode>General</c:formatCode>
                <c:ptCount val="2"/>
                <c:pt idx="0">
                  <c:v>34</c:v>
                </c:pt>
                <c:pt idx="1">
                  <c:v>30</c:v>
                </c:pt>
              </c:numCache>
            </c:numRef>
          </c:val>
        </c:ser>
        <c:dLbls>
          <c:showLegendKey val="false"/>
          <c:showVal val="true"/>
          <c:showCatName val="false"/>
          <c:showSerName val="false"/>
          <c:showPercent val="false"/>
          <c:showBubbleSize val="false"/>
        </c:dLbls>
        <c:gapWidth val="219"/>
        <c:overlap val="-27"/>
        <c:axId val="552805888"/>
        <c:axId val="553988096"/>
      </c:barChart>
      <c:lineChart>
        <c:grouping val="standard"/>
        <c:varyColors val="false"/>
        <c:ser>
          <c:idx val="1"/>
          <c:order val="1"/>
          <c:tx>
            <c:strRef>
              <c:f>[公报作图.xlsx]Sheet1!$E$29</c:f>
              <c:strCache>
                <c:ptCount val="1"/>
                <c:pt idx="0">
                  <c:v>年均二级标准</c:v>
                </c:pt>
              </c:strCache>
            </c:strRef>
          </c:tx>
          <c:spPr>
            <a:ln w="19050" cap="rnd" cmpd="sng" algn="ctr">
              <a:solidFill>
                <a:schemeClr val="tx1"/>
              </a:solidFill>
              <a:prstDash val="sysDash"/>
              <a:round/>
            </a:ln>
            <a:effectLst>
              <a:outerShdw blurRad="40000" dist="23000" dir="5400000" rotWithShape="0">
                <a:srgbClr val="000000">
                  <a:alpha val="35000"/>
                </a:srgbClr>
              </a:outerShdw>
            </a:effectLst>
          </c:spPr>
          <c:marker>
            <c:symbol val="none"/>
          </c:marker>
          <c:dLbls>
            <c:delete val="true"/>
          </c:dLbls>
          <c:cat>
            <c:strRef>
              <c:f>[公报作图.xlsx]Sheet1!$F$27:$G$27</c:f>
              <c:strCache>
                <c:ptCount val="2"/>
                <c:pt idx="0">
                  <c:v>2020年</c:v>
                </c:pt>
                <c:pt idx="1">
                  <c:v>2021年</c:v>
                </c:pt>
              </c:strCache>
            </c:strRef>
          </c:cat>
          <c:val>
            <c:numRef>
              <c:f>[公报作图.xlsx]Sheet1!$F$29:$G$29</c:f>
              <c:numCache>
                <c:formatCode>General</c:formatCode>
                <c:ptCount val="2"/>
                <c:pt idx="0">
                  <c:v>35</c:v>
                </c:pt>
                <c:pt idx="1">
                  <c:v>35</c:v>
                </c:pt>
              </c:numCache>
            </c:numRef>
          </c:val>
          <c:smooth val="false"/>
        </c:ser>
        <c:dLbls>
          <c:showLegendKey val="false"/>
          <c:showVal val="true"/>
          <c:showCatName val="false"/>
          <c:showSerName val="false"/>
          <c:showPercent val="false"/>
          <c:showBubbleSize val="false"/>
        </c:dLbls>
        <c:marker val="false"/>
        <c:smooth val="false"/>
        <c:axId val="552805888"/>
        <c:axId val="553988096"/>
      </c:lineChart>
      <c:catAx>
        <c:axId val="552805888"/>
        <c:scaling>
          <c:orientation val="minMax"/>
        </c:scaling>
        <c:delete val="false"/>
        <c:axPos val="b"/>
        <c:numFmt formatCode="General" sourceLinked="tru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53988096"/>
        <c:crosses val="autoZero"/>
        <c:auto val="true"/>
        <c:lblAlgn val="ctr"/>
        <c:lblOffset val="5"/>
        <c:noMultiLvlLbl val="false"/>
      </c:catAx>
      <c:valAx>
        <c:axId val="553988096"/>
        <c:scaling>
          <c:orientation val="minMax"/>
          <c:max val="38"/>
          <c:min val="28"/>
        </c:scaling>
        <c:delete val="false"/>
        <c:axPos val="l"/>
        <c:title>
          <c:tx>
            <c:rich>
              <a:bodyPr rot="-54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r>
                  <a:rPr lang="zh-CN" altLang="en-US"/>
                  <a:t>细颗粒物（微克</a:t>
                </a:r>
                <a:r>
                  <a:rPr lang="en-US" altLang="zh-CN"/>
                  <a:t>/</a:t>
                </a:r>
                <a:r>
                  <a:rPr lang="zh-CN" altLang="en-US"/>
                  <a:t>立方米）</a:t>
                </a:r>
                <a:endParaRPr lang="zh-CN" altLang="en-US"/>
              </a:p>
            </c:rich>
          </c:tx>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52805888"/>
        <c:crosses val="autoZero"/>
        <c:crossBetween val="between"/>
        <c:majorUnit val="2"/>
      </c:valAx>
      <c:spPr>
        <a:noFill/>
        <a:ln w="9525">
          <a:solidFill>
            <a:schemeClr val="tx1"/>
          </a:solidFill>
        </a:ln>
        <a:effectLst/>
      </c:spPr>
    </c:plotArea>
    <c:legend>
      <c:legendPos val="t"/>
      <c:layout>
        <c:manualLayout>
          <c:xMode val="edge"/>
          <c:yMode val="edge"/>
          <c:x val="0.242069452856854"/>
          <c:y val="0.0560747663551402"/>
          <c:w val="0.633076923076923"/>
          <c:h val="0.110661564500699"/>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26798556430446"/>
          <c:y val="0.0509259259259259"/>
          <c:w val="0.842645888013999"/>
          <c:h val="0.798250564334086"/>
        </c:manualLayout>
      </c:layout>
      <c:lineChart>
        <c:grouping val="standard"/>
        <c:varyColors val="false"/>
        <c:ser>
          <c:idx val="0"/>
          <c:order val="0"/>
          <c:tx>
            <c:strRef>
              <c:f>[公报作图.xlsx]Sheet1!$B$141</c:f>
              <c:strCache>
                <c:ptCount val="1"/>
                <c:pt idx="0">
                  <c:v>2020年</c:v>
                </c:pt>
              </c:strCache>
            </c:strRef>
          </c:tx>
          <c:spPr>
            <a:ln w="28575" cap="rnd" cmpd="sng" algn="ctr">
              <a:solidFill>
                <a:schemeClr val="accent1"/>
              </a:solidFill>
              <a:prstDash val="solid"/>
              <a:round/>
            </a:ln>
            <a:effectLst/>
          </c:spPr>
          <c:marker>
            <c:symbol val="circle"/>
            <c:size val="7"/>
            <c:spPr>
              <a:solidFill>
                <a:schemeClr val="bg1"/>
              </a:solidFill>
              <a:ln w="9525" cap="flat" cmpd="sng" algn="ctr">
                <a:solidFill>
                  <a:schemeClr val="accent1"/>
                </a:solidFill>
                <a:prstDash val="solid"/>
                <a:round/>
              </a:ln>
              <a:effectLst/>
            </c:spPr>
          </c:marker>
          <c:dLbls>
            <c:delete val="true"/>
          </c:dLbls>
          <c:cat>
            <c:strRef>
              <c:f>[公报作图.xlsx]Sheet1!$A$142:$A$153</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[公报作图.xlsx]Sheet1!$B$142:$B$153</c:f>
              <c:numCache>
                <c:formatCode>General</c:formatCode>
                <c:ptCount val="12"/>
                <c:pt idx="0">
                  <c:v>53</c:v>
                </c:pt>
                <c:pt idx="1">
                  <c:v>29</c:v>
                </c:pt>
                <c:pt idx="2">
                  <c:v>28</c:v>
                </c:pt>
                <c:pt idx="3">
                  <c:v>37</c:v>
                </c:pt>
                <c:pt idx="4">
                  <c:v>42</c:v>
                </c:pt>
                <c:pt idx="5">
                  <c:v>31</c:v>
                </c:pt>
                <c:pt idx="6">
                  <c:v>30</c:v>
                </c:pt>
                <c:pt idx="7">
                  <c:v>20</c:v>
                </c:pt>
                <c:pt idx="8">
                  <c:v>27</c:v>
                </c:pt>
                <c:pt idx="9">
                  <c:v>24</c:v>
                </c:pt>
                <c:pt idx="10">
                  <c:v>32</c:v>
                </c:pt>
                <c:pt idx="11">
                  <c:v>54</c:v>
                </c:pt>
              </c:numCache>
            </c:numRef>
          </c:val>
          <c:smooth val="false"/>
        </c:ser>
        <c:ser>
          <c:idx val="1"/>
          <c:order val="1"/>
          <c:tx>
            <c:strRef>
              <c:f>[公报作图.xlsx]Sheet1!$C$141</c:f>
              <c:strCache>
                <c:ptCount val="1"/>
                <c:pt idx="0">
                  <c:v>2021年</c:v>
                </c:pt>
              </c:strCache>
            </c:strRef>
          </c:tx>
          <c:spPr>
            <a:ln w="28575" cap="rnd" cmpd="sng" algn="ctr">
              <a:solidFill>
                <a:schemeClr val="accent2"/>
              </a:solidFill>
              <a:prstDash val="solid"/>
              <a:round/>
            </a:ln>
            <a:effectLst/>
          </c:spPr>
          <c:marker>
            <c:symbol val="circle"/>
            <c:size val="7"/>
            <c:spPr>
              <a:solidFill>
                <a:schemeClr val="bg1"/>
              </a:solidFill>
              <a:ln w="9525" cap="flat" cmpd="sng" algn="ctr">
                <a:solidFill>
                  <a:schemeClr val="accent2"/>
                </a:solidFill>
                <a:prstDash val="solid"/>
                <a:round/>
              </a:ln>
              <a:effectLst/>
            </c:spPr>
          </c:marker>
          <c:dLbls>
            <c:delete val="true"/>
          </c:dLbls>
          <c:cat>
            <c:strRef>
              <c:f>[公报作图.xlsx]Sheet1!$A$142:$A$153</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[公报作图.xlsx]Sheet1!$C$142:$C$153</c:f>
              <c:numCache>
                <c:formatCode>General</c:formatCode>
                <c:ptCount val="12"/>
                <c:pt idx="0">
                  <c:v>44</c:v>
                </c:pt>
                <c:pt idx="1">
                  <c:v>32</c:v>
                </c:pt>
                <c:pt idx="2">
                  <c:v>39</c:v>
                </c:pt>
                <c:pt idx="3">
                  <c:v>35</c:v>
                </c:pt>
                <c:pt idx="4">
                  <c:v>32</c:v>
                </c:pt>
                <c:pt idx="5">
                  <c:v>24</c:v>
                </c:pt>
                <c:pt idx="6">
                  <c:v>18</c:v>
                </c:pt>
                <c:pt idx="7">
                  <c:v>19</c:v>
                </c:pt>
                <c:pt idx="8">
                  <c:v>21</c:v>
                </c:pt>
                <c:pt idx="9">
                  <c:v>20</c:v>
                </c:pt>
                <c:pt idx="10">
                  <c:v>34</c:v>
                </c:pt>
                <c:pt idx="11">
                  <c:v>46</c:v>
                </c:pt>
              </c:numCache>
            </c:numRef>
          </c:val>
          <c:smooth val="false"/>
        </c:ser>
        <c:ser>
          <c:idx val="2"/>
          <c:order val="2"/>
          <c:tx>
            <c:strRef>
              <c:f>[公报作图.xlsx]Sheet1!$D$141</c:f>
              <c:strCache>
                <c:ptCount val="1"/>
                <c:pt idx="0">
                  <c:v>年均二级标准</c:v>
                </c:pt>
              </c:strCache>
            </c:strRef>
          </c:tx>
          <c:spPr>
            <a:ln w="19050" cap="rnd" cmpd="sng" algn="ctr">
              <a:solidFill>
                <a:schemeClr val="tx1"/>
              </a:solidFill>
              <a:prstDash val="dash"/>
              <a:round/>
            </a:ln>
            <a:effectLst/>
          </c:spPr>
          <c:marker>
            <c:symbol val="none"/>
          </c:marker>
          <c:dLbls>
            <c:delete val="true"/>
          </c:dLbls>
          <c:cat>
            <c:strRef>
              <c:f>[公报作图.xlsx]Sheet1!$A$142:$A$153</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[公报作图.xlsx]Sheet1!$D$142:$D$153</c:f>
              <c:numCache>
                <c:formatCode>General</c:formatCode>
                <c:ptCount val="12"/>
                <c:pt idx="0">
                  <c:v>35</c:v>
                </c:pt>
                <c:pt idx="1">
                  <c:v>35</c:v>
                </c:pt>
                <c:pt idx="2">
                  <c:v>35</c:v>
                </c:pt>
                <c:pt idx="3">
                  <c:v>35</c:v>
                </c:pt>
                <c:pt idx="4">
                  <c:v>35</c:v>
                </c:pt>
                <c:pt idx="5">
                  <c:v>35</c:v>
                </c:pt>
                <c:pt idx="6">
                  <c:v>35</c:v>
                </c:pt>
                <c:pt idx="7">
                  <c:v>35</c:v>
                </c:pt>
                <c:pt idx="8">
                  <c:v>35</c:v>
                </c:pt>
                <c:pt idx="9">
                  <c:v>35</c:v>
                </c:pt>
                <c:pt idx="10">
                  <c:v>35</c:v>
                </c:pt>
                <c:pt idx="11">
                  <c:v>35</c:v>
                </c:pt>
              </c:numCache>
            </c:numRef>
          </c:val>
          <c:smooth val="false"/>
        </c:ser>
        <c:dLbls>
          <c:showLegendKey val="false"/>
          <c:showVal val="false"/>
          <c:showCatName val="false"/>
          <c:showSerName val="false"/>
          <c:showPercent val="false"/>
          <c:showBubbleSize val="false"/>
        </c:dLbls>
        <c:marker val="true"/>
        <c:smooth val="false"/>
        <c:axId val="537567616"/>
        <c:axId val="537568384"/>
      </c:lineChart>
      <c:catAx>
        <c:axId val="537567616"/>
        <c:scaling>
          <c:orientation val="minMax"/>
        </c:scaling>
        <c:delete val="false"/>
        <c:axPos val="b"/>
        <c:numFmt formatCode="General" sourceLinked="tru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37568384"/>
        <c:crosses val="autoZero"/>
        <c:auto val="true"/>
        <c:lblAlgn val="ctr"/>
        <c:lblOffset val="5"/>
        <c:noMultiLvlLbl val="false"/>
      </c:catAx>
      <c:valAx>
        <c:axId val="537568384"/>
        <c:scaling>
          <c:orientation val="minMax"/>
          <c:max val="80"/>
          <c:min val="10"/>
        </c:scaling>
        <c:delete val="false"/>
        <c:axPos val="l"/>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en-US"/>
                  <a:t>细颗粒物（微克</a:t>
                </a:r>
                <a:r>
                  <a:rPr lang="en-US" altLang="zh-CN"/>
                  <a:t>/</a:t>
                </a:r>
                <a:r>
                  <a:rPr lang="zh-CN" altLang="en-US"/>
                  <a:t>立方米）</a:t>
                </a:r>
                <a:endParaRPr lang="zh-CN" altLang="en-US"/>
              </a:p>
            </c:rich>
          </c:tx>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37567616"/>
        <c:crosses val="autoZero"/>
        <c:crossBetween val="between"/>
      </c:valAx>
      <c:spPr>
        <a:noFill/>
        <a:ln>
          <a:solidFill>
            <a:schemeClr val="tx1"/>
          </a:solidFill>
        </a:ln>
        <a:effectLst/>
      </c:spPr>
    </c:plotArea>
    <c:legend>
      <c:legendPos val="b"/>
      <c:layout>
        <c:manualLayout>
          <c:xMode val="edge"/>
          <c:yMode val="edge"/>
          <c:x val="0.197620680347123"/>
          <c:y val="0.0895407452058924"/>
          <c:w val="0.679339294841974"/>
          <c:h val="0.0707462088072325"/>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58438712402329"/>
          <c:y val="0.0507060755336618"/>
          <c:w val="0.803531903339669"/>
          <c:h val="0.785649927092447"/>
        </c:manualLayout>
      </c:layout>
      <c:barChart>
        <c:barDir val="col"/>
        <c:grouping val="clustered"/>
        <c:varyColors val="false"/>
        <c:ser>
          <c:idx val="0"/>
          <c:order val="0"/>
          <c:tx>
            <c:strRef>
              <c:f>[公报作图.xlsx]Sheet1!$E$43</c:f>
              <c:strCache>
                <c:ptCount val="1"/>
                <c:pt idx="0">
                  <c:v>PM₁₀</c:v>
                </c:pt>
              </c:strCache>
            </c:strRef>
          </c:tx>
          <c:spPr>
            <a:gradFill rotWithShape="true">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false"/>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1400" b="1" i="0" u="none" strike="noStrike" kern="1200" baseline="0">
                    <a:solidFill>
                      <a:schemeClr val="bg1"/>
                    </a:solidFill>
                    <a:latin typeface="Times New Roman" charset="0"/>
                    <a:ea typeface="+mn-ea"/>
                    <a:cs typeface="Times New Roman" charset="0"/>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[公报作图.xlsx]Sheet1!$F$42:$G$42</c:f>
              <c:strCache>
                <c:ptCount val="2"/>
                <c:pt idx="0">
                  <c:v>2020年</c:v>
                </c:pt>
                <c:pt idx="1">
                  <c:v>2021年</c:v>
                </c:pt>
              </c:strCache>
            </c:strRef>
          </c:cat>
          <c:val>
            <c:numRef>
              <c:f>[公报作图.xlsx]Sheet1!$F$43:$G$43</c:f>
              <c:numCache>
                <c:formatCode>General</c:formatCode>
                <c:ptCount val="2"/>
                <c:pt idx="0">
                  <c:v>44</c:v>
                </c:pt>
                <c:pt idx="1">
                  <c:v>46</c:v>
                </c:pt>
              </c:numCache>
            </c:numRef>
          </c:val>
        </c:ser>
        <c:dLbls>
          <c:showLegendKey val="false"/>
          <c:showVal val="true"/>
          <c:showCatName val="false"/>
          <c:showSerName val="false"/>
          <c:showPercent val="false"/>
          <c:showBubbleSize val="false"/>
        </c:dLbls>
        <c:gapWidth val="219"/>
        <c:overlap val="-27"/>
        <c:axId val="537654400"/>
        <c:axId val="537655936"/>
      </c:barChart>
      <c:lineChart>
        <c:grouping val="standard"/>
        <c:varyColors val="false"/>
        <c:ser>
          <c:idx val="1"/>
          <c:order val="1"/>
          <c:tx>
            <c:strRef>
              <c:f>[公报作图.xlsx]Sheet1!$E$44</c:f>
              <c:strCache>
                <c:ptCount val="1"/>
                <c:pt idx="0">
                  <c:v>年均二级标准</c:v>
                </c:pt>
              </c:strCache>
            </c:strRef>
          </c:tx>
          <c:spPr>
            <a:ln w="19050" cap="rnd" cmpd="sng" algn="ctr">
              <a:solidFill>
                <a:schemeClr val="tx1"/>
              </a:solidFill>
              <a:prstDash val="sysDash"/>
              <a:round/>
            </a:ln>
            <a:effectLst>
              <a:outerShdw blurRad="40000" dist="23000" dir="5400000" rotWithShape="0">
                <a:srgbClr val="000000">
                  <a:alpha val="35000"/>
                </a:srgbClr>
              </a:outerShdw>
            </a:effectLst>
          </c:spPr>
          <c:marker>
            <c:symbol val="none"/>
          </c:marker>
          <c:dLbls>
            <c:delete val="true"/>
          </c:dLbls>
          <c:cat>
            <c:strRef>
              <c:f>[公报作图.xlsx]Sheet1!$F$42:$G$42</c:f>
              <c:strCache>
                <c:ptCount val="2"/>
                <c:pt idx="0">
                  <c:v>2020年</c:v>
                </c:pt>
                <c:pt idx="1">
                  <c:v>2021年</c:v>
                </c:pt>
              </c:strCache>
            </c:strRef>
          </c:cat>
          <c:val>
            <c:numRef>
              <c:f>[公报作图.xlsx]Sheet1!$F$44:$G$44</c:f>
              <c:numCache>
                <c:formatCode>General</c:formatCode>
                <c:ptCount val="2"/>
                <c:pt idx="0">
                  <c:v>70</c:v>
                </c:pt>
                <c:pt idx="1">
                  <c:v>70</c:v>
                </c:pt>
              </c:numCache>
            </c:numRef>
          </c:val>
          <c:smooth val="false"/>
        </c:ser>
        <c:dLbls>
          <c:showLegendKey val="false"/>
          <c:showVal val="true"/>
          <c:showCatName val="false"/>
          <c:showSerName val="false"/>
          <c:showPercent val="false"/>
          <c:showBubbleSize val="false"/>
        </c:dLbls>
        <c:marker val="false"/>
        <c:smooth val="false"/>
        <c:axId val="537654400"/>
        <c:axId val="537655936"/>
      </c:lineChart>
      <c:catAx>
        <c:axId val="537654400"/>
        <c:scaling>
          <c:orientation val="minMax"/>
        </c:scaling>
        <c:delete val="false"/>
        <c:axPos val="b"/>
        <c:numFmt formatCode="General" sourceLinked="true"/>
        <c:majorTickMark val="none"/>
        <c:minorTickMark val="none"/>
        <c:tickLblPos val="nextTo"/>
        <c:spPr>
          <a:noFill/>
          <a:ln w="12700"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37655936"/>
        <c:crosses val="autoZero"/>
        <c:auto val="true"/>
        <c:lblAlgn val="ctr"/>
        <c:lblOffset val="0"/>
        <c:noMultiLvlLbl val="false"/>
      </c:catAx>
      <c:valAx>
        <c:axId val="537655936"/>
        <c:scaling>
          <c:orientation val="minMax"/>
          <c:max val="90"/>
          <c:min val="0"/>
        </c:scaling>
        <c:delete val="false"/>
        <c:axPos val="l"/>
        <c:title>
          <c:tx>
            <c:rich>
              <a:bodyPr rot="-54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r>
                  <a:rPr lang="zh-CN" altLang="en-US"/>
                  <a:t>可吸入颗粒物（微克</a:t>
                </a:r>
                <a:r>
                  <a:rPr lang="en-US" altLang="zh-CN"/>
                  <a:t>/</a:t>
                </a:r>
                <a:r>
                  <a:rPr lang="zh-CN" altLang="en-US"/>
                  <a:t>立方米）</a:t>
                </a:r>
                <a:endParaRPr lang="zh-CN" altLang="en-US"/>
              </a:p>
            </c:rich>
          </c:tx>
          <c:layout>
            <c:manualLayout>
              <c:xMode val="edge"/>
              <c:yMode val="edge"/>
              <c:x val="0.0245925121428787"/>
              <c:y val="0.0498608340624089"/>
            </c:manualLayout>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37654400"/>
        <c:crosses val="autoZero"/>
        <c:crossBetween val="between"/>
        <c:majorUnit val="20"/>
      </c:valAx>
      <c:spPr>
        <a:noFill/>
        <a:ln>
          <a:solidFill>
            <a:schemeClr val="tx1"/>
          </a:solidFill>
        </a:ln>
        <a:effectLst/>
      </c:spPr>
    </c:plotArea>
    <c:legend>
      <c:legendPos val="t"/>
      <c:layout>
        <c:manualLayout>
          <c:xMode val="edge"/>
          <c:yMode val="edge"/>
          <c:x val="0.29715557969047"/>
          <c:y val="0.0591133004926109"/>
          <c:w val="0.509903400006034"/>
          <c:h val="0.116658003956402"/>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66645307267626"/>
          <c:y val="0.0627576974564927"/>
          <c:w val="0.802799167345462"/>
          <c:h val="0.773306770388641"/>
        </c:manualLayout>
      </c:layout>
      <c:lineChart>
        <c:grouping val="standard"/>
        <c:varyColors val="false"/>
        <c:ser>
          <c:idx val="0"/>
          <c:order val="0"/>
          <c:tx>
            <c:strRef>
              <c:f>[公报作图.xlsx]Sheet1!$B$156</c:f>
              <c:strCache>
                <c:ptCount val="1"/>
                <c:pt idx="0">
                  <c:v>2020年</c:v>
                </c:pt>
              </c:strCache>
            </c:strRef>
          </c:tx>
          <c:spPr>
            <a:ln w="28575" cap="rnd" cmpd="sng" algn="ctr">
              <a:solidFill>
                <a:schemeClr val="accent1"/>
              </a:solidFill>
              <a:prstDash val="solid"/>
              <a:round/>
            </a:ln>
            <a:effectLst/>
          </c:spPr>
          <c:marker>
            <c:symbol val="circle"/>
            <c:size val="7"/>
            <c:spPr>
              <a:solidFill>
                <a:schemeClr val="bg1"/>
              </a:solidFill>
              <a:ln w="9525" cap="flat" cmpd="sng" algn="ctr">
                <a:solidFill>
                  <a:schemeClr val="accent1"/>
                </a:solidFill>
                <a:prstDash val="solid"/>
                <a:round/>
              </a:ln>
              <a:effectLst/>
            </c:spPr>
          </c:marker>
          <c:dLbls>
            <c:delete val="true"/>
          </c:dLbls>
          <c:cat>
            <c:strRef>
              <c:f>[公报作图.xlsx]Sheet1!$A$157:$A$168</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[公报作图.xlsx]Sheet1!$B$157:$B$168</c:f>
              <c:numCache>
                <c:formatCode>General</c:formatCode>
                <c:ptCount val="12"/>
                <c:pt idx="0">
                  <c:v>48</c:v>
                </c:pt>
                <c:pt idx="1">
                  <c:v>36</c:v>
                </c:pt>
                <c:pt idx="2">
                  <c:v>41</c:v>
                </c:pt>
                <c:pt idx="3">
                  <c:v>58</c:v>
                </c:pt>
                <c:pt idx="4">
                  <c:v>52</c:v>
                </c:pt>
                <c:pt idx="5">
                  <c:v>30</c:v>
                </c:pt>
                <c:pt idx="6">
                  <c:v>33</c:v>
                </c:pt>
                <c:pt idx="7">
                  <c:v>34</c:v>
                </c:pt>
                <c:pt idx="8">
                  <c:v>39</c:v>
                </c:pt>
                <c:pt idx="9">
                  <c:v>43</c:v>
                </c:pt>
                <c:pt idx="10">
                  <c:v>50</c:v>
                </c:pt>
                <c:pt idx="11">
                  <c:v>62</c:v>
                </c:pt>
              </c:numCache>
            </c:numRef>
          </c:val>
          <c:smooth val="false"/>
        </c:ser>
        <c:ser>
          <c:idx val="1"/>
          <c:order val="1"/>
          <c:tx>
            <c:strRef>
              <c:f>[公报作图.xlsx]Sheet1!$C$156</c:f>
              <c:strCache>
                <c:ptCount val="1"/>
                <c:pt idx="0">
                  <c:v>2021年</c:v>
                </c:pt>
              </c:strCache>
            </c:strRef>
          </c:tx>
          <c:spPr>
            <a:ln w="28575" cap="rnd" cmpd="sng" algn="ctr">
              <a:solidFill>
                <a:schemeClr val="accent2"/>
              </a:solidFill>
              <a:prstDash val="solid"/>
              <a:round/>
            </a:ln>
            <a:effectLst/>
          </c:spPr>
          <c:marker>
            <c:symbol val="circle"/>
            <c:size val="7"/>
            <c:spPr>
              <a:solidFill>
                <a:schemeClr val="bg1"/>
              </a:solidFill>
              <a:ln w="9525" cap="flat" cmpd="sng" algn="ctr">
                <a:solidFill>
                  <a:schemeClr val="accent2"/>
                </a:solidFill>
                <a:prstDash val="solid"/>
                <a:round/>
              </a:ln>
              <a:effectLst/>
            </c:spPr>
          </c:marker>
          <c:dLbls>
            <c:delete val="true"/>
          </c:dLbls>
          <c:cat>
            <c:strRef>
              <c:f>[公报作图.xlsx]Sheet1!$A$157:$A$168</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[公报作图.xlsx]Sheet1!$C$157:$C$168</c:f>
              <c:numCache>
                <c:formatCode>General</c:formatCode>
                <c:ptCount val="12"/>
                <c:pt idx="0">
                  <c:v>72</c:v>
                </c:pt>
                <c:pt idx="1">
                  <c:v>44</c:v>
                </c:pt>
                <c:pt idx="2">
                  <c:v>55</c:v>
                </c:pt>
                <c:pt idx="3">
                  <c:v>54</c:v>
                </c:pt>
                <c:pt idx="4">
                  <c:v>51</c:v>
                </c:pt>
                <c:pt idx="5">
                  <c:v>30</c:v>
                </c:pt>
                <c:pt idx="6">
                  <c:v>27</c:v>
                </c:pt>
                <c:pt idx="7">
                  <c:v>29</c:v>
                </c:pt>
                <c:pt idx="8">
                  <c:v>34</c:v>
                </c:pt>
                <c:pt idx="9">
                  <c:v>37</c:v>
                </c:pt>
                <c:pt idx="10">
                  <c:v>56</c:v>
                </c:pt>
                <c:pt idx="11">
                  <c:v>63</c:v>
                </c:pt>
              </c:numCache>
            </c:numRef>
          </c:val>
          <c:smooth val="false"/>
        </c:ser>
        <c:ser>
          <c:idx val="2"/>
          <c:order val="2"/>
          <c:tx>
            <c:strRef>
              <c:f>[公报作图.xlsx]Sheet1!$D$156</c:f>
              <c:strCache>
                <c:ptCount val="1"/>
                <c:pt idx="0">
                  <c:v>年均二级标准</c:v>
                </c:pt>
              </c:strCache>
            </c:strRef>
          </c:tx>
          <c:spPr>
            <a:ln w="19050" cap="rnd" cmpd="sng" algn="ctr">
              <a:solidFill>
                <a:schemeClr val="tx1"/>
              </a:solidFill>
              <a:prstDash val="dash"/>
              <a:round/>
            </a:ln>
            <a:effectLst/>
          </c:spPr>
          <c:marker>
            <c:symbol val="none"/>
          </c:marker>
          <c:dLbls>
            <c:delete val="true"/>
          </c:dLbls>
          <c:cat>
            <c:strRef>
              <c:f>[公报作图.xlsx]Sheet1!$A$157:$A$168</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[公报作图.xlsx]Sheet1!$D$157:$D$168</c:f>
              <c:numCache>
                <c:formatCode>General</c:formatCode>
                <c:ptCount val="12"/>
                <c:pt idx="0">
                  <c:v>70</c:v>
                </c:pt>
                <c:pt idx="1">
                  <c:v>70</c:v>
                </c:pt>
                <c:pt idx="2">
                  <c:v>70</c:v>
                </c:pt>
                <c:pt idx="3">
                  <c:v>70</c:v>
                </c:pt>
                <c:pt idx="4">
                  <c:v>70</c:v>
                </c:pt>
                <c:pt idx="5">
                  <c:v>70</c:v>
                </c:pt>
                <c:pt idx="6">
                  <c:v>70</c:v>
                </c:pt>
                <c:pt idx="7">
                  <c:v>70</c:v>
                </c:pt>
                <c:pt idx="8">
                  <c:v>70</c:v>
                </c:pt>
                <c:pt idx="9">
                  <c:v>70</c:v>
                </c:pt>
                <c:pt idx="10">
                  <c:v>70</c:v>
                </c:pt>
                <c:pt idx="11">
                  <c:v>70</c:v>
                </c:pt>
              </c:numCache>
            </c:numRef>
          </c:val>
          <c:smooth val="false"/>
        </c:ser>
        <c:dLbls>
          <c:showLegendKey val="false"/>
          <c:showVal val="false"/>
          <c:showCatName val="false"/>
          <c:showSerName val="false"/>
          <c:showPercent val="false"/>
          <c:showBubbleSize val="false"/>
        </c:dLbls>
        <c:marker val="true"/>
        <c:smooth val="false"/>
        <c:axId val="542068736"/>
        <c:axId val="542070272"/>
      </c:lineChart>
      <c:catAx>
        <c:axId val="542068736"/>
        <c:scaling>
          <c:orientation val="minMax"/>
        </c:scaling>
        <c:delete val="false"/>
        <c:axPos val="b"/>
        <c:numFmt formatCode="General" sourceLinked="tru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2070272"/>
        <c:crosses val="autoZero"/>
        <c:auto val="true"/>
        <c:lblAlgn val="ctr"/>
        <c:lblOffset val="100"/>
        <c:noMultiLvlLbl val="false"/>
      </c:catAx>
      <c:valAx>
        <c:axId val="542070272"/>
        <c:scaling>
          <c:orientation val="minMax"/>
          <c:max val="100"/>
          <c:min val="20"/>
        </c:scaling>
        <c:delete val="false"/>
        <c:axPos val="l"/>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en-US"/>
                  <a:t>可吸入颗粒物（微克</a:t>
                </a:r>
                <a:r>
                  <a:rPr lang="en-US" altLang="zh-CN"/>
                  <a:t>/</a:t>
                </a:r>
                <a:r>
                  <a:rPr lang="zh-CN" altLang="en-US"/>
                  <a:t>立方米）</a:t>
                </a:r>
                <a:endParaRPr lang="zh-CN" altLang="en-US"/>
              </a:p>
            </c:rich>
          </c:tx>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2068736"/>
        <c:crosses val="autoZero"/>
        <c:crossBetween val="between"/>
      </c:valAx>
      <c:spPr>
        <a:noFill/>
        <a:ln>
          <a:solidFill>
            <a:schemeClr val="tx1"/>
          </a:solidFill>
        </a:ln>
        <a:effectLst/>
      </c:spPr>
    </c:plotArea>
    <c:legend>
      <c:legendPos val="b"/>
      <c:layout>
        <c:manualLayout>
          <c:xMode val="edge"/>
          <c:yMode val="edge"/>
          <c:x val="0.227259902856971"/>
          <c:y val="0.10222348712435"/>
          <c:w val="0.683028207680937"/>
          <c:h val="0.0707462088072325"/>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70020778652668"/>
          <c:y val="0.0471073590028051"/>
          <c:w val="0.799423665791776"/>
          <c:h val="0.84501159004609"/>
        </c:manualLayout>
      </c:layout>
      <c:barChart>
        <c:barDir val="col"/>
        <c:grouping val="clustered"/>
        <c:varyColors val="false"/>
        <c:ser>
          <c:idx val="0"/>
          <c:order val="0"/>
          <c:tx>
            <c:strRef>
              <c:f>Sheet1!$E$59</c:f>
              <c:strCache>
                <c:ptCount val="1"/>
                <c:pt idx="0">
                  <c:v>O₃</c:v>
                </c:pt>
              </c:strCache>
            </c:strRef>
          </c:tx>
          <c:spPr>
            <a:gradFill rotWithShape="true">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false"/>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1400" b="1" i="0" u="none" strike="noStrike" kern="1200" baseline="0">
                    <a:solidFill>
                      <a:schemeClr val="bg1"/>
                    </a:solidFill>
                    <a:latin typeface="Times New Roman" charset="0"/>
                    <a:ea typeface="+mn-ea"/>
                    <a:cs typeface="Times New Roman" charset="0"/>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Sheet1!$F$58:$G$58</c:f>
              <c:strCache>
                <c:ptCount val="2"/>
                <c:pt idx="0">
                  <c:v>2020年</c:v>
                </c:pt>
                <c:pt idx="1">
                  <c:v>2021年</c:v>
                </c:pt>
              </c:strCache>
            </c:strRef>
          </c:cat>
          <c:val>
            <c:numRef>
              <c:f>Sheet1!$F$59:$G$59</c:f>
              <c:numCache>
                <c:formatCode>General</c:formatCode>
                <c:ptCount val="2"/>
                <c:pt idx="0">
                  <c:v>160</c:v>
                </c:pt>
                <c:pt idx="1">
                  <c:v>153</c:v>
                </c:pt>
              </c:numCache>
            </c:numRef>
          </c:val>
        </c:ser>
        <c:dLbls>
          <c:showLegendKey val="false"/>
          <c:showVal val="false"/>
          <c:showCatName val="false"/>
          <c:showSerName val="false"/>
          <c:showPercent val="false"/>
          <c:showBubbleSize val="false"/>
        </c:dLbls>
        <c:gapWidth val="219"/>
        <c:overlap val="-27"/>
        <c:axId val="-1227092784"/>
        <c:axId val="-1227088976"/>
      </c:barChart>
      <c:lineChart>
        <c:grouping val="standard"/>
        <c:varyColors val="false"/>
        <c:ser>
          <c:idx val="1"/>
          <c:order val="1"/>
          <c:tx>
            <c:strRef>
              <c:f>Sheet1!$E$60</c:f>
              <c:strCache>
                <c:ptCount val="1"/>
                <c:pt idx="0">
                  <c:v>年均二级标准</c:v>
                </c:pt>
              </c:strCache>
            </c:strRef>
          </c:tx>
          <c:spPr>
            <a:ln w="19050" cap="rnd">
              <a:solidFill>
                <a:schemeClr val="tx1"/>
              </a:solidFill>
              <a:prstDash val="sysDash"/>
              <a:round/>
            </a:ln>
            <a:effectLst>
              <a:outerShdw blurRad="40000" dist="23000" dir="5400000" rotWithShape="0">
                <a:srgbClr val="000000">
                  <a:alpha val="35000"/>
                </a:srgbClr>
              </a:outerShdw>
            </a:effectLst>
          </c:spPr>
          <c:marker>
            <c:symbol val="none"/>
          </c:marker>
          <c:dLbls>
            <c:delete val="true"/>
          </c:dLbls>
          <c:cat>
            <c:strRef>
              <c:f>Sheet1!$F$58:$G$58</c:f>
              <c:strCache>
                <c:ptCount val="2"/>
                <c:pt idx="0">
                  <c:v>2020年</c:v>
                </c:pt>
                <c:pt idx="1">
                  <c:v>2021年</c:v>
                </c:pt>
              </c:strCache>
            </c:strRef>
          </c:cat>
          <c:val>
            <c:numRef>
              <c:f>Sheet1!$F$60:$G$60</c:f>
              <c:numCache>
                <c:formatCode>General</c:formatCode>
                <c:ptCount val="2"/>
                <c:pt idx="0">
                  <c:v>160</c:v>
                </c:pt>
                <c:pt idx="1">
                  <c:v>160</c:v>
                </c:pt>
              </c:numCache>
            </c:numRef>
          </c:val>
          <c:smooth val="false"/>
        </c:ser>
        <c:dLbls>
          <c:showLegendKey val="false"/>
          <c:showVal val="false"/>
          <c:showCatName val="false"/>
          <c:showSerName val="false"/>
          <c:showPercent val="false"/>
          <c:showBubbleSize val="false"/>
        </c:dLbls>
        <c:marker val="false"/>
        <c:smooth val="false"/>
        <c:axId val="-1227092784"/>
        <c:axId val="-1227088976"/>
      </c:lineChart>
      <c:catAx>
        <c:axId val="-1227092784"/>
        <c:scaling>
          <c:orientation val="minMax"/>
        </c:scaling>
        <c:delete val="false"/>
        <c:axPos val="b"/>
        <c:numFmt formatCode="General" sourceLinked="tru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227088976"/>
        <c:crosses val="autoZero"/>
        <c:auto val="true"/>
        <c:lblAlgn val="ctr"/>
        <c:lblOffset val="100"/>
        <c:noMultiLvlLbl val="false"/>
      </c:catAx>
      <c:valAx>
        <c:axId val="-1227088976"/>
        <c:scaling>
          <c:orientation val="minMax"/>
        </c:scaling>
        <c:delete val="false"/>
        <c:axPos val="l"/>
        <c:title>
          <c:tx>
            <c:rich>
              <a:bodyPr rot="-54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r>
                  <a:rPr lang="zh-CN" altLang="en-US"/>
                  <a:t>臭氧最大</a:t>
                </a:r>
                <a:r>
                  <a:rPr lang="en-US" altLang="zh-CN"/>
                  <a:t>8</a:t>
                </a:r>
                <a:r>
                  <a:rPr lang="zh-CN" altLang="en-US"/>
                  <a:t>小时平均第</a:t>
                </a:r>
                <a:r>
                  <a:rPr lang="en-US" altLang="zh-CN"/>
                  <a:t>90</a:t>
                </a:r>
                <a:r>
                  <a:rPr lang="zh-CN" altLang="en-US"/>
                  <a:t>百分位数浓度（微克</a:t>
                </a:r>
                <a:r>
                  <a:rPr lang="en-US" altLang="zh-CN"/>
                  <a:t>/</a:t>
                </a:r>
                <a:r>
                  <a:rPr lang="zh-CN" altLang="en-US"/>
                  <a:t>立方米）</a:t>
                </a:r>
                <a:endParaRPr lang="zh-CN" altLang="en-US"/>
              </a:p>
            </c:rich>
          </c:tx>
          <c:layout/>
          <c:overlay val="false"/>
          <c:spPr>
            <a:noFill/>
            <a:ln>
              <a:noFill/>
            </a:ln>
            <a:effectLst/>
          </c:spPr>
        </c:title>
        <c:numFmt formatCode="General" sourceLinked="tru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227092784"/>
        <c:crosses val="autoZero"/>
        <c:crossBetween val="between"/>
      </c:valAx>
      <c:spPr>
        <a:noFill/>
        <a:ln w="9525">
          <a:solidFill>
            <a:schemeClr val="tx1"/>
          </a:solidFill>
        </a:ln>
        <a:effectLst/>
      </c:spPr>
    </c:plotArea>
    <c:legend>
      <c:legendPos val="t"/>
      <c:layout>
        <c:manualLayout>
          <c:xMode val="edge"/>
          <c:yMode val="edge"/>
          <c:x val="0.276852496943725"/>
          <c:y val="0.0632424485317125"/>
          <c:w val="0.585322782064596"/>
          <c:h val="0.070016866448395"/>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round/>
    </a:ln>
    <a:effectLst/>
  </c:spPr>
  <c:txPr>
    <a:bodyPr/>
    <a:lstStyle/>
    <a:p>
      <a:pPr>
        <a:defRPr lang="zh-CN"/>
      </a:pPr>
    </a:p>
  </c:txPr>
  <c:externalData r:id="rId1">
    <c:autoUpdate val="false"/>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77604111986002"/>
          <c:y val="0.0509259259259259"/>
          <c:w val="0.791840332458443"/>
          <c:h val="0.824878608923885"/>
        </c:manualLayout>
      </c:layout>
      <c:lineChart>
        <c:grouping val="standard"/>
        <c:varyColors val="false"/>
        <c:ser>
          <c:idx val="0"/>
          <c:order val="0"/>
          <c:tx>
            <c:strRef>
              <c:f>Sheet1!$B$171</c:f>
              <c:strCache>
                <c:ptCount val="1"/>
                <c:pt idx="0">
                  <c:v>2020年</c:v>
                </c:pt>
              </c:strCache>
            </c:strRef>
          </c:tx>
          <c:spPr>
            <a:ln w="28575" cap="rnd">
              <a:solidFill>
                <a:schemeClr val="accent1"/>
              </a:solidFill>
              <a:round/>
            </a:ln>
            <a:effectLst/>
          </c:spPr>
          <c:marker>
            <c:symbol val="circle"/>
            <c:size val="7"/>
            <c:spPr>
              <a:solidFill>
                <a:schemeClr val="bg1"/>
              </a:solidFill>
              <a:ln w="9525">
                <a:solidFill>
                  <a:schemeClr val="accent1"/>
                </a:solidFill>
              </a:ln>
              <a:effectLst/>
            </c:spPr>
          </c:marker>
          <c:dLbls>
            <c:delete val="true"/>
          </c:dLbls>
          <c:cat>
            <c:strRef>
              <c:f>Sheet1!$A$172:$A$183</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Sheet1!$B$172:$B$183</c:f>
              <c:numCache>
                <c:formatCode>General</c:formatCode>
                <c:ptCount val="12"/>
                <c:pt idx="0">
                  <c:v>107</c:v>
                </c:pt>
                <c:pt idx="1">
                  <c:v>115</c:v>
                </c:pt>
                <c:pt idx="2">
                  <c:v>125</c:v>
                </c:pt>
                <c:pt idx="3">
                  <c:v>169</c:v>
                </c:pt>
                <c:pt idx="4">
                  <c:v>199</c:v>
                </c:pt>
                <c:pt idx="5">
                  <c:v>185</c:v>
                </c:pt>
                <c:pt idx="6">
                  <c:v>176</c:v>
                </c:pt>
                <c:pt idx="7">
                  <c:v>155</c:v>
                </c:pt>
                <c:pt idx="8">
                  <c:v>206</c:v>
                </c:pt>
                <c:pt idx="9">
                  <c:v>128</c:v>
                </c:pt>
                <c:pt idx="10">
                  <c:v>106</c:v>
                </c:pt>
                <c:pt idx="11">
                  <c:v>75</c:v>
                </c:pt>
              </c:numCache>
            </c:numRef>
          </c:val>
          <c:smooth val="false"/>
        </c:ser>
        <c:ser>
          <c:idx val="1"/>
          <c:order val="1"/>
          <c:tx>
            <c:strRef>
              <c:f>Sheet1!$C$171</c:f>
              <c:strCache>
                <c:ptCount val="1"/>
                <c:pt idx="0">
                  <c:v>2021年</c:v>
                </c:pt>
              </c:strCache>
            </c:strRef>
          </c:tx>
          <c:spPr>
            <a:ln w="28575" cap="rnd">
              <a:solidFill>
                <a:schemeClr val="accent2"/>
              </a:solidFill>
              <a:round/>
            </a:ln>
            <a:effectLst/>
          </c:spPr>
          <c:marker>
            <c:symbol val="circle"/>
            <c:size val="7"/>
            <c:spPr>
              <a:solidFill>
                <a:schemeClr val="bg1"/>
              </a:solidFill>
              <a:ln w="9525">
                <a:solidFill>
                  <a:schemeClr val="accent2"/>
                </a:solidFill>
              </a:ln>
              <a:effectLst/>
            </c:spPr>
          </c:marker>
          <c:dLbls>
            <c:delete val="true"/>
          </c:dLbls>
          <c:cat>
            <c:strRef>
              <c:f>Sheet1!$A$172:$A$183</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Sheet1!$C$172:$C$183</c:f>
              <c:numCache>
                <c:formatCode>General</c:formatCode>
                <c:ptCount val="12"/>
                <c:pt idx="0">
                  <c:v>60</c:v>
                </c:pt>
                <c:pt idx="1">
                  <c:v>83</c:v>
                </c:pt>
                <c:pt idx="2">
                  <c:v>82</c:v>
                </c:pt>
                <c:pt idx="3">
                  <c:v>101</c:v>
                </c:pt>
                <c:pt idx="4">
                  <c:v>133</c:v>
                </c:pt>
                <c:pt idx="5">
                  <c:v>110</c:v>
                </c:pt>
                <c:pt idx="6">
                  <c:v>104</c:v>
                </c:pt>
                <c:pt idx="7">
                  <c:v>111</c:v>
                </c:pt>
                <c:pt idx="8">
                  <c:v>120</c:v>
                </c:pt>
                <c:pt idx="9">
                  <c:v>87</c:v>
                </c:pt>
                <c:pt idx="10">
                  <c:v>74</c:v>
                </c:pt>
                <c:pt idx="11">
                  <c:v>53</c:v>
                </c:pt>
              </c:numCache>
            </c:numRef>
          </c:val>
          <c:smooth val="false"/>
        </c:ser>
        <c:ser>
          <c:idx val="2"/>
          <c:order val="2"/>
          <c:tx>
            <c:strRef>
              <c:f>Sheet1!$D$171</c:f>
              <c:strCache>
                <c:ptCount val="1"/>
                <c:pt idx="0">
                  <c:v>年均二级标准</c:v>
                </c:pt>
              </c:strCache>
            </c:strRef>
          </c:tx>
          <c:spPr>
            <a:ln w="19050" cap="rnd">
              <a:solidFill>
                <a:schemeClr val="tx1"/>
              </a:solidFill>
              <a:prstDash val="dash"/>
              <a:round/>
            </a:ln>
            <a:effectLst/>
          </c:spPr>
          <c:marker>
            <c:symbol val="none"/>
          </c:marker>
          <c:dLbls>
            <c:delete val="true"/>
          </c:dLbls>
          <c:cat>
            <c:strRef>
              <c:f>Sheet1!$A$172:$A$183</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Sheet1!$D$172:$D$183</c:f>
              <c:numCache>
                <c:formatCode>General</c:formatCode>
                <c:ptCount val="12"/>
                <c:pt idx="0">
                  <c:v>160</c:v>
                </c:pt>
                <c:pt idx="1">
                  <c:v>160</c:v>
                </c:pt>
                <c:pt idx="2">
                  <c:v>160</c:v>
                </c:pt>
                <c:pt idx="3">
                  <c:v>160</c:v>
                </c:pt>
                <c:pt idx="4">
                  <c:v>160</c:v>
                </c:pt>
                <c:pt idx="5">
                  <c:v>160</c:v>
                </c:pt>
                <c:pt idx="6">
                  <c:v>160</c:v>
                </c:pt>
                <c:pt idx="7">
                  <c:v>160</c:v>
                </c:pt>
                <c:pt idx="8">
                  <c:v>160</c:v>
                </c:pt>
                <c:pt idx="9">
                  <c:v>160</c:v>
                </c:pt>
                <c:pt idx="10">
                  <c:v>160</c:v>
                </c:pt>
                <c:pt idx="11">
                  <c:v>160</c:v>
                </c:pt>
              </c:numCache>
            </c:numRef>
          </c:val>
          <c:smooth val="false"/>
        </c:ser>
        <c:dLbls>
          <c:showLegendKey val="false"/>
          <c:showVal val="false"/>
          <c:showCatName val="false"/>
          <c:showSerName val="false"/>
          <c:showPercent val="false"/>
          <c:showBubbleSize val="false"/>
        </c:dLbls>
        <c:marker val="true"/>
        <c:smooth val="false"/>
        <c:axId val="-1362190528"/>
        <c:axId val="-1437868960"/>
      </c:lineChart>
      <c:catAx>
        <c:axId val="-1362190528"/>
        <c:scaling>
          <c:orientation val="minMax"/>
        </c:scaling>
        <c:delete val="false"/>
        <c:axPos val="b"/>
        <c:numFmt formatCode="General" sourceLinked="tru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437868960"/>
        <c:crosses val="autoZero"/>
        <c:auto val="true"/>
        <c:lblAlgn val="ctr"/>
        <c:lblOffset val="100"/>
        <c:noMultiLvlLbl val="false"/>
      </c:catAx>
      <c:valAx>
        <c:axId val="-1437868960"/>
        <c:scaling>
          <c:orientation val="minMax"/>
        </c:scaling>
        <c:delete val="false"/>
        <c:axPos val="l"/>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en-US"/>
                  <a:t>臭氧最大</a:t>
                </a:r>
                <a:r>
                  <a:rPr lang="en-US" altLang="zh-CN"/>
                  <a:t>8</a:t>
                </a:r>
                <a:r>
                  <a:rPr lang="zh-CN" altLang="en-US"/>
                  <a:t>小时平均第</a:t>
                </a:r>
                <a:r>
                  <a:rPr lang="en-US" altLang="zh-CN"/>
                  <a:t>90</a:t>
                </a:r>
                <a:r>
                  <a:rPr lang="zh-CN" altLang="en-US"/>
                  <a:t>百分位数浓度（微克</a:t>
                </a:r>
                <a:r>
                  <a:rPr lang="en-US" altLang="zh-CN"/>
                  <a:t>/</a:t>
                </a:r>
                <a:r>
                  <a:rPr lang="zh-CN" altLang="en-US"/>
                  <a:t>立方米</a:t>
                </a:r>
                <a:endParaRPr lang="zh-CN" altLang="en-US"/>
              </a:p>
            </c:rich>
          </c:tx>
          <c:layout/>
          <c:overlay val="false"/>
          <c:spPr>
            <a:noFill/>
            <a:ln>
              <a:noFill/>
            </a:ln>
            <a:effectLst/>
          </c:spPr>
        </c:title>
        <c:numFmt formatCode="General" sourceLinked="tru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362190528"/>
        <c:crosses val="autoZero"/>
        <c:crossBetween val="between"/>
      </c:valAx>
      <c:spPr>
        <a:noFill/>
        <a:ln>
          <a:solidFill>
            <a:schemeClr val="tx1"/>
          </a:solidFill>
        </a:ln>
        <a:effectLst/>
      </c:spPr>
    </c:plotArea>
    <c:legend>
      <c:legendPos val="b"/>
      <c:layout>
        <c:manualLayout>
          <c:xMode val="edge"/>
          <c:yMode val="edge"/>
          <c:x val="0.205260072053731"/>
          <c:y val="0.0779860090481391"/>
          <c:w val="0.728200003991896"/>
          <c:h val="0.0707462088072324"/>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round/>
    </a:ln>
    <a:effectLst/>
  </c:spPr>
  <c:txPr>
    <a:bodyPr/>
    <a:lstStyle/>
    <a:p>
      <a:pPr>
        <a:defRPr lang="zh-CN"/>
      </a:pPr>
    </a:p>
  </c:txPr>
  <c:externalData r:id="rId1">
    <c:autoUpdate val="false"/>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65915188312304"/>
          <c:y val="0.0474347158218126"/>
          <c:w val="0.794601650697278"/>
          <c:h val="0.764454927005092"/>
        </c:manualLayout>
      </c:layout>
      <c:barChart>
        <c:barDir val="col"/>
        <c:grouping val="clustered"/>
        <c:varyColors val="false"/>
        <c:ser>
          <c:idx val="0"/>
          <c:order val="0"/>
          <c:tx>
            <c:strRef>
              <c:f>[公报作图.xlsx]Sheet1!$E$76</c:f>
              <c:strCache>
                <c:ptCount val="1"/>
                <c:pt idx="0">
                  <c:v>SO₂</c:v>
                </c:pt>
              </c:strCache>
            </c:strRef>
          </c:tx>
          <c:spPr>
            <a:gradFill rotWithShape="true">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false"/>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1400" b="1" i="0" u="none" strike="noStrike" kern="1200" baseline="0">
                    <a:solidFill>
                      <a:schemeClr val="bg1"/>
                    </a:solidFill>
                    <a:latin typeface="Times New Roman" charset="0"/>
                    <a:ea typeface="+mn-ea"/>
                    <a:cs typeface="Times New Roman" charset="0"/>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[公报作图.xlsx]Sheet1!$F$75:$G$75</c:f>
              <c:strCache>
                <c:ptCount val="2"/>
                <c:pt idx="0">
                  <c:v>2020年</c:v>
                </c:pt>
                <c:pt idx="1">
                  <c:v>2021年</c:v>
                </c:pt>
              </c:strCache>
            </c:strRef>
          </c:cat>
          <c:val>
            <c:numRef>
              <c:f>[公报作图.xlsx]Sheet1!$F$76:$G$76</c:f>
              <c:numCache>
                <c:formatCode>General</c:formatCode>
                <c:ptCount val="2"/>
                <c:pt idx="0">
                  <c:v>6</c:v>
                </c:pt>
                <c:pt idx="1">
                  <c:v>5</c:v>
                </c:pt>
              </c:numCache>
            </c:numRef>
          </c:val>
        </c:ser>
        <c:dLbls>
          <c:showLegendKey val="false"/>
          <c:showVal val="true"/>
          <c:showCatName val="false"/>
          <c:showSerName val="false"/>
          <c:showPercent val="false"/>
          <c:showBubbleSize val="false"/>
        </c:dLbls>
        <c:gapWidth val="219"/>
        <c:overlap val="-27"/>
        <c:axId val="543262592"/>
        <c:axId val="543264128"/>
      </c:barChart>
      <c:lineChart>
        <c:grouping val="standard"/>
        <c:varyColors val="false"/>
        <c:ser>
          <c:idx val="1"/>
          <c:order val="1"/>
          <c:tx>
            <c:strRef>
              <c:f>[公报作图.xlsx]Sheet1!$E$77</c:f>
              <c:strCache>
                <c:ptCount val="1"/>
                <c:pt idx="0">
                  <c:v>年均一级标准</c:v>
                </c:pt>
              </c:strCache>
            </c:strRef>
          </c:tx>
          <c:spPr>
            <a:ln w="19050" cap="rnd" cmpd="sng" algn="ctr">
              <a:solidFill>
                <a:schemeClr val="tx1"/>
              </a:solidFill>
              <a:prstDash val="sysDash"/>
              <a:round/>
            </a:ln>
            <a:effectLst>
              <a:outerShdw blurRad="40000" dist="23000" dir="5400000" rotWithShape="0">
                <a:srgbClr val="000000">
                  <a:alpha val="35000"/>
                </a:srgbClr>
              </a:outerShdw>
            </a:effectLst>
          </c:spPr>
          <c:marker>
            <c:symbol val="none"/>
          </c:marker>
          <c:dLbls>
            <c:delete val="true"/>
          </c:dLbls>
          <c:cat>
            <c:strRef>
              <c:f>[公报作图.xlsx]Sheet1!$F$75:$G$75</c:f>
              <c:strCache>
                <c:ptCount val="2"/>
                <c:pt idx="0">
                  <c:v>2020年</c:v>
                </c:pt>
                <c:pt idx="1">
                  <c:v>2021年</c:v>
                </c:pt>
              </c:strCache>
            </c:strRef>
          </c:cat>
          <c:val>
            <c:numRef>
              <c:f>[公报作图.xlsx]Sheet1!$F$77:$G$77</c:f>
              <c:numCache>
                <c:formatCode>General</c:formatCode>
                <c:ptCount val="2"/>
                <c:pt idx="0">
                  <c:v>20</c:v>
                </c:pt>
                <c:pt idx="1">
                  <c:v>20</c:v>
                </c:pt>
              </c:numCache>
            </c:numRef>
          </c:val>
          <c:smooth val="false"/>
        </c:ser>
        <c:dLbls>
          <c:showLegendKey val="false"/>
          <c:showVal val="true"/>
          <c:showCatName val="false"/>
          <c:showSerName val="false"/>
          <c:showPercent val="false"/>
          <c:showBubbleSize val="false"/>
        </c:dLbls>
        <c:marker val="false"/>
        <c:smooth val="false"/>
        <c:axId val="543262592"/>
        <c:axId val="543264128"/>
      </c:lineChart>
      <c:catAx>
        <c:axId val="543262592"/>
        <c:scaling>
          <c:orientation val="minMax"/>
        </c:scaling>
        <c:delete val="false"/>
        <c:axPos val="b"/>
        <c:numFmt formatCode="General" sourceLinked="tru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3264128"/>
        <c:crosses val="autoZero"/>
        <c:auto val="true"/>
        <c:lblAlgn val="ctr"/>
        <c:lblOffset val="100"/>
        <c:noMultiLvlLbl val="false"/>
      </c:catAx>
      <c:valAx>
        <c:axId val="543264128"/>
        <c:scaling>
          <c:orientation val="minMax"/>
        </c:scaling>
        <c:delete val="false"/>
        <c:axPos val="l"/>
        <c:title>
          <c:tx>
            <c:rich>
              <a:bodyPr rot="-54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r>
                  <a:rPr lang="zh-CN" altLang="en-US"/>
                  <a:t>二氧化硫（微克</a:t>
                </a:r>
                <a:r>
                  <a:rPr lang="en-US" altLang="zh-CN"/>
                  <a:t>/</a:t>
                </a:r>
                <a:r>
                  <a:rPr lang="zh-CN" altLang="en-US"/>
                  <a:t>立方米）</a:t>
                </a:r>
                <a:endParaRPr lang="zh-CN" altLang="en-US"/>
              </a:p>
            </c:rich>
          </c:tx>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3262592"/>
        <c:crosses val="autoZero"/>
        <c:crossBetween val="between"/>
      </c:valAx>
      <c:spPr>
        <a:noFill/>
        <a:ln w="9525">
          <a:solidFill>
            <a:schemeClr val="tx1"/>
          </a:solidFill>
        </a:ln>
        <a:effectLst/>
      </c:spPr>
    </c:plotArea>
    <c:legend>
      <c:legendPos val="t"/>
      <c:layout>
        <c:manualLayout>
          <c:xMode val="edge"/>
          <c:yMode val="edge"/>
          <c:x val="0.265009138917876"/>
          <c:y val="0.0478111203841455"/>
          <c:w val="0.587886847058691"/>
          <c:h val="0.119901302659748"/>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60048572241723"/>
          <c:y val="0.0509259259259259"/>
          <c:w val="0.809395693008254"/>
          <c:h val="0.785494192825059"/>
        </c:manualLayout>
      </c:layout>
      <c:lineChart>
        <c:grouping val="standard"/>
        <c:varyColors val="false"/>
        <c:ser>
          <c:idx val="0"/>
          <c:order val="0"/>
          <c:tx>
            <c:strRef>
              <c:f>[公报作图.xlsx]Sheet1!$B$187</c:f>
              <c:strCache>
                <c:ptCount val="1"/>
                <c:pt idx="0">
                  <c:v>2020年</c:v>
                </c:pt>
              </c:strCache>
            </c:strRef>
          </c:tx>
          <c:spPr>
            <a:ln w="19050" cap="rnd" cmpd="sng" algn="ctr">
              <a:solidFill>
                <a:schemeClr val="accent1"/>
              </a:solidFill>
              <a:prstDash val="solid"/>
              <a:round/>
            </a:ln>
            <a:effectLst/>
          </c:spPr>
          <c:marker>
            <c:symbol val="circle"/>
            <c:size val="7"/>
            <c:spPr>
              <a:solidFill>
                <a:schemeClr val="bg1"/>
              </a:solidFill>
              <a:ln w="9525" cap="flat" cmpd="sng" algn="ctr">
                <a:solidFill>
                  <a:schemeClr val="accent1"/>
                </a:solidFill>
                <a:prstDash val="solid"/>
                <a:round/>
              </a:ln>
              <a:effectLst/>
            </c:spPr>
          </c:marker>
          <c:dLbls>
            <c:delete val="true"/>
          </c:dLbls>
          <c:cat>
            <c:strRef>
              <c:f>[公报作图.xlsx]Sheet1!$A$188:$A$199</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[公报作图.xlsx]Sheet1!$B$188:$B$199</c:f>
              <c:numCache>
                <c:formatCode>General</c:formatCode>
                <c:ptCount val="12"/>
                <c:pt idx="0">
                  <c:v>7</c:v>
                </c:pt>
                <c:pt idx="1">
                  <c:v>6</c:v>
                </c:pt>
                <c:pt idx="2">
                  <c:v>7</c:v>
                </c:pt>
                <c:pt idx="3">
                  <c:v>8</c:v>
                </c:pt>
                <c:pt idx="4">
                  <c:v>6</c:v>
                </c:pt>
                <c:pt idx="5">
                  <c:v>5</c:v>
                </c:pt>
                <c:pt idx="6">
                  <c:v>4</c:v>
                </c:pt>
                <c:pt idx="7">
                  <c:v>6</c:v>
                </c:pt>
                <c:pt idx="8">
                  <c:v>6</c:v>
                </c:pt>
                <c:pt idx="9">
                  <c:v>5</c:v>
                </c:pt>
                <c:pt idx="10">
                  <c:v>6</c:v>
                </c:pt>
                <c:pt idx="11">
                  <c:v>8</c:v>
                </c:pt>
              </c:numCache>
            </c:numRef>
          </c:val>
          <c:smooth val="false"/>
        </c:ser>
        <c:ser>
          <c:idx val="1"/>
          <c:order val="1"/>
          <c:tx>
            <c:strRef>
              <c:f>[公报作图.xlsx]Sheet1!$C$187</c:f>
              <c:strCache>
                <c:ptCount val="1"/>
                <c:pt idx="0">
                  <c:v>2021年</c:v>
                </c:pt>
              </c:strCache>
            </c:strRef>
          </c:tx>
          <c:spPr>
            <a:ln w="19050" cap="rnd" cmpd="sng" algn="ctr">
              <a:solidFill>
                <a:schemeClr val="accent2"/>
              </a:solidFill>
              <a:prstDash val="solid"/>
              <a:round/>
            </a:ln>
            <a:effectLst/>
          </c:spPr>
          <c:marker>
            <c:symbol val="circle"/>
            <c:size val="7"/>
            <c:spPr>
              <a:solidFill>
                <a:schemeClr val="bg1"/>
              </a:solidFill>
              <a:ln w="9525" cap="flat" cmpd="sng" algn="ctr">
                <a:solidFill>
                  <a:schemeClr val="accent2"/>
                </a:solidFill>
                <a:prstDash val="solid"/>
                <a:round/>
              </a:ln>
              <a:effectLst/>
            </c:spPr>
          </c:marker>
          <c:dLbls>
            <c:delete val="true"/>
          </c:dLbls>
          <c:cat>
            <c:strRef>
              <c:f>[公报作图.xlsx]Sheet1!$A$188:$A$199</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[公报作图.xlsx]Sheet1!$C$188:$C$199</c:f>
              <c:numCache>
                <c:formatCode>General</c:formatCode>
                <c:ptCount val="12"/>
                <c:pt idx="0">
                  <c:v>8</c:v>
                </c:pt>
                <c:pt idx="1">
                  <c:v>6</c:v>
                </c:pt>
                <c:pt idx="2">
                  <c:v>5</c:v>
                </c:pt>
                <c:pt idx="3">
                  <c:v>5</c:v>
                </c:pt>
                <c:pt idx="4">
                  <c:v>4</c:v>
                </c:pt>
                <c:pt idx="5">
                  <c:v>4</c:v>
                </c:pt>
                <c:pt idx="6">
                  <c:v>4</c:v>
                </c:pt>
                <c:pt idx="7">
                  <c:v>5</c:v>
                </c:pt>
                <c:pt idx="8">
                  <c:v>5</c:v>
                </c:pt>
                <c:pt idx="9">
                  <c:v>4</c:v>
                </c:pt>
                <c:pt idx="10">
                  <c:v>6</c:v>
                </c:pt>
                <c:pt idx="11">
                  <c:v>7</c:v>
                </c:pt>
              </c:numCache>
            </c:numRef>
          </c:val>
          <c:smooth val="false"/>
        </c:ser>
        <c:ser>
          <c:idx val="2"/>
          <c:order val="2"/>
          <c:tx>
            <c:strRef>
              <c:f>[公报作图.xlsx]Sheet1!$D$187</c:f>
              <c:strCache>
                <c:ptCount val="1"/>
                <c:pt idx="0">
                  <c:v>年均一级标准</c:v>
                </c:pt>
              </c:strCache>
            </c:strRef>
          </c:tx>
          <c:spPr>
            <a:ln w="19050" cap="rnd" cmpd="sng" algn="ctr">
              <a:solidFill>
                <a:schemeClr val="tx1"/>
              </a:solidFill>
              <a:prstDash val="dash"/>
              <a:round/>
            </a:ln>
            <a:effectLst/>
          </c:spPr>
          <c:marker>
            <c:symbol val="none"/>
          </c:marker>
          <c:dLbls>
            <c:delete val="true"/>
          </c:dLbls>
          <c:cat>
            <c:strRef>
              <c:f>[公报作图.xlsx]Sheet1!$A$188:$A$199</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[公报作图.xlsx]Sheet1!$D$188:$D$199</c:f>
              <c:numCache>
                <c:formatCode>General</c:formatCode>
                <c:ptCount val="12"/>
                <c:pt idx="0">
                  <c:v>20</c:v>
                </c:pt>
                <c:pt idx="1">
                  <c:v>20</c:v>
                </c:pt>
                <c:pt idx="2">
                  <c:v>20</c:v>
                </c:pt>
                <c:pt idx="3">
                  <c:v>20</c:v>
                </c:pt>
                <c:pt idx="4">
                  <c:v>20</c:v>
                </c:pt>
                <c:pt idx="5">
                  <c:v>20</c:v>
                </c:pt>
                <c:pt idx="6">
                  <c:v>20</c:v>
                </c:pt>
                <c:pt idx="7">
                  <c:v>20</c:v>
                </c:pt>
                <c:pt idx="8">
                  <c:v>20</c:v>
                </c:pt>
                <c:pt idx="9">
                  <c:v>20</c:v>
                </c:pt>
                <c:pt idx="10">
                  <c:v>20</c:v>
                </c:pt>
                <c:pt idx="11">
                  <c:v>20</c:v>
                </c:pt>
              </c:numCache>
            </c:numRef>
          </c:val>
          <c:smooth val="false"/>
        </c:ser>
        <c:dLbls>
          <c:showLegendKey val="false"/>
          <c:showVal val="false"/>
          <c:showCatName val="false"/>
          <c:showSerName val="false"/>
          <c:showPercent val="false"/>
          <c:showBubbleSize val="false"/>
        </c:dLbls>
        <c:marker val="true"/>
        <c:smooth val="false"/>
        <c:axId val="544106368"/>
        <c:axId val="544107904"/>
      </c:lineChart>
      <c:catAx>
        <c:axId val="544106368"/>
        <c:scaling>
          <c:orientation val="minMax"/>
        </c:scaling>
        <c:delete val="false"/>
        <c:axPos val="b"/>
        <c:numFmt formatCode="General" sourceLinked="tru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4107904"/>
        <c:crosses val="autoZero"/>
        <c:auto val="true"/>
        <c:lblAlgn val="ctr"/>
        <c:lblOffset val="100"/>
        <c:noMultiLvlLbl val="false"/>
      </c:catAx>
      <c:valAx>
        <c:axId val="544107904"/>
        <c:scaling>
          <c:orientation val="minMax"/>
        </c:scaling>
        <c:delete val="false"/>
        <c:axPos val="l"/>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en-US"/>
                  <a:t>二氧化硫（微克</a:t>
                </a:r>
                <a:r>
                  <a:rPr lang="en-US" altLang="zh-CN"/>
                  <a:t>/</a:t>
                </a:r>
                <a:r>
                  <a:rPr lang="zh-CN" altLang="en-US"/>
                  <a:t>立方米）</a:t>
                </a:r>
                <a:endParaRPr lang="zh-CN" altLang="en-US"/>
              </a:p>
            </c:rich>
          </c:tx>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4106368"/>
        <c:crosses val="autoZero"/>
        <c:crossBetween val="between"/>
      </c:valAx>
      <c:spPr>
        <a:noFill/>
        <a:ln>
          <a:solidFill>
            <a:schemeClr val="tx1"/>
          </a:solidFill>
        </a:ln>
        <a:effectLst/>
      </c:spPr>
    </c:plotArea>
    <c:legend>
      <c:legendPos val="b"/>
      <c:layout>
        <c:manualLayout>
          <c:xMode val="edge"/>
          <c:yMode val="edge"/>
          <c:x val="0.230500099468007"/>
          <c:y val="0.0727723832727187"/>
          <c:w val="0.70093936301972"/>
          <c:h val="0.0707462088072324"/>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67230059233532"/>
          <c:y val="0.0512106135986733"/>
          <c:w val="0.791229155267978"/>
          <c:h val="0.7646105430851"/>
        </c:manualLayout>
      </c:layout>
      <c:barChart>
        <c:barDir val="col"/>
        <c:grouping val="clustered"/>
        <c:varyColors val="false"/>
        <c:ser>
          <c:idx val="0"/>
          <c:order val="0"/>
          <c:tx>
            <c:strRef>
              <c:f>[公报作图.xlsx]Sheet1!$E$92</c:f>
              <c:strCache>
                <c:ptCount val="1"/>
                <c:pt idx="0">
                  <c:v>NO₂</c:v>
                </c:pt>
              </c:strCache>
            </c:strRef>
          </c:tx>
          <c:spPr>
            <a:gradFill rotWithShape="true">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false"/>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1400" b="1" i="0" u="none" strike="noStrike" kern="1200" baseline="0">
                    <a:solidFill>
                      <a:schemeClr val="bg1"/>
                    </a:solidFill>
                    <a:latin typeface="Times New Roman" charset="0"/>
                    <a:ea typeface="+mn-ea"/>
                    <a:cs typeface="Times New Roman" charset="0"/>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[公报作图.xlsx]Sheet1!$F$91:$G$91</c:f>
              <c:strCache>
                <c:ptCount val="2"/>
                <c:pt idx="0">
                  <c:v>2020年</c:v>
                </c:pt>
                <c:pt idx="1">
                  <c:v>2021年</c:v>
                </c:pt>
              </c:strCache>
            </c:strRef>
          </c:cat>
          <c:val>
            <c:numRef>
              <c:f>[公报作图.xlsx]Sheet1!$F$92:$G$92</c:f>
              <c:numCache>
                <c:formatCode>General</c:formatCode>
                <c:ptCount val="2"/>
                <c:pt idx="0">
                  <c:v>35</c:v>
                </c:pt>
                <c:pt idx="1">
                  <c:v>36</c:v>
                </c:pt>
              </c:numCache>
            </c:numRef>
          </c:val>
        </c:ser>
        <c:dLbls>
          <c:showLegendKey val="false"/>
          <c:showVal val="true"/>
          <c:showCatName val="false"/>
          <c:showSerName val="false"/>
          <c:showPercent val="false"/>
          <c:showBubbleSize val="false"/>
        </c:dLbls>
        <c:gapWidth val="219"/>
        <c:overlap val="-27"/>
        <c:axId val="544150656"/>
        <c:axId val="544152192"/>
      </c:barChart>
      <c:lineChart>
        <c:grouping val="standard"/>
        <c:varyColors val="false"/>
        <c:ser>
          <c:idx val="1"/>
          <c:order val="1"/>
          <c:tx>
            <c:strRef>
              <c:f>[公报作图.xlsx]Sheet1!$E$93</c:f>
              <c:strCache>
                <c:ptCount val="1"/>
                <c:pt idx="0">
                  <c:v>年均二级标准</c:v>
                </c:pt>
              </c:strCache>
            </c:strRef>
          </c:tx>
          <c:spPr>
            <a:ln w="34925" cap="rnd" cmpd="sng" algn="ctr">
              <a:solidFill>
                <a:schemeClr val="tx1"/>
              </a:solidFill>
              <a:prstDash val="sysDash"/>
              <a:round/>
            </a:ln>
            <a:effectLst>
              <a:outerShdw blurRad="40000" dist="23000" dir="5400000" rotWithShape="0">
                <a:srgbClr val="000000">
                  <a:alpha val="35000"/>
                </a:srgbClr>
              </a:outerShdw>
            </a:effectLst>
          </c:spPr>
          <c:marker>
            <c:symbol val="none"/>
          </c:marker>
          <c:dPt>
            <c:idx val="1"/>
            <c:marker>
              <c:symbol val="none"/>
            </c:marker>
            <c:bubble3D val="false"/>
            <c:spPr>
              <a:ln w="19050" cap="rnd" cmpd="sng" algn="ctr">
                <a:solidFill>
                  <a:schemeClr val="tx1"/>
                </a:solidFill>
                <a:prstDash val="sysDash"/>
                <a:round/>
              </a:ln>
              <a:effectLst>
                <a:outerShdw blurRad="40000" dist="23000" dir="5400000" rotWithShape="0">
                  <a:srgbClr val="000000">
                    <a:alpha val="35000"/>
                  </a:srgbClr>
                </a:outerShdw>
              </a:effectLst>
            </c:spPr>
          </c:dPt>
          <c:dLbls>
            <c:delete val="true"/>
          </c:dLbls>
          <c:cat>
            <c:strRef>
              <c:f>[公报作图.xlsx]Sheet1!$F$91:$G$91</c:f>
              <c:strCache>
                <c:ptCount val="2"/>
                <c:pt idx="0">
                  <c:v>2020年</c:v>
                </c:pt>
                <c:pt idx="1">
                  <c:v>2021年</c:v>
                </c:pt>
              </c:strCache>
            </c:strRef>
          </c:cat>
          <c:val>
            <c:numRef>
              <c:f>[公报作图.xlsx]Sheet1!$F$93:$G$93</c:f>
              <c:numCache>
                <c:formatCode>General</c:formatCode>
                <c:ptCount val="2"/>
                <c:pt idx="0">
                  <c:v>40</c:v>
                </c:pt>
                <c:pt idx="1">
                  <c:v>40</c:v>
                </c:pt>
              </c:numCache>
            </c:numRef>
          </c:val>
          <c:smooth val="false"/>
        </c:ser>
        <c:dLbls>
          <c:showLegendKey val="false"/>
          <c:showVal val="true"/>
          <c:showCatName val="false"/>
          <c:showSerName val="false"/>
          <c:showPercent val="false"/>
          <c:showBubbleSize val="false"/>
        </c:dLbls>
        <c:marker val="false"/>
        <c:smooth val="false"/>
        <c:axId val="544150656"/>
        <c:axId val="544152192"/>
      </c:lineChart>
      <c:catAx>
        <c:axId val="544150656"/>
        <c:scaling>
          <c:orientation val="minMax"/>
        </c:scaling>
        <c:delete val="false"/>
        <c:axPos val="b"/>
        <c:numFmt formatCode="General" sourceLinked="tru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4152192"/>
        <c:crosses val="autoZero"/>
        <c:auto val="true"/>
        <c:lblAlgn val="ctr"/>
        <c:lblOffset val="5"/>
        <c:noMultiLvlLbl val="false"/>
      </c:catAx>
      <c:valAx>
        <c:axId val="544152192"/>
        <c:scaling>
          <c:orientation val="minMax"/>
          <c:max val="46"/>
          <c:min val="20"/>
        </c:scaling>
        <c:delete val="false"/>
        <c:axPos val="l"/>
        <c:title>
          <c:tx>
            <c:rich>
              <a:bodyPr rot="-54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r>
                  <a:rPr lang="zh-CN" altLang="en-US"/>
                  <a:t>二氧化氮（微克</a:t>
                </a:r>
                <a:r>
                  <a:rPr lang="en-US" altLang="zh-CN"/>
                  <a:t>/</a:t>
                </a:r>
                <a:r>
                  <a:rPr lang="zh-CN" altLang="en-US"/>
                  <a:t>立方米）</a:t>
                </a:r>
                <a:endParaRPr lang="zh-CN" altLang="en-US"/>
              </a:p>
            </c:rich>
          </c:tx>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4150656"/>
        <c:crosses val="autoZero"/>
        <c:crossBetween val="between"/>
        <c:majorUnit val="5"/>
      </c:valAx>
      <c:spPr>
        <a:noFill/>
        <a:ln>
          <a:solidFill>
            <a:schemeClr val="tx1"/>
          </a:solidFill>
        </a:ln>
        <a:effectLst/>
      </c:spPr>
    </c:plotArea>
    <c:legend>
      <c:legendPos val="t"/>
      <c:layout>
        <c:manualLayout>
          <c:xMode val="edge"/>
          <c:yMode val="edge"/>
          <c:x val="0.246625237419093"/>
          <c:y val="0.0398009950248756"/>
          <c:w val="0.613210088731356"/>
          <c:h val="0.144274428383019"/>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26798556430446"/>
          <c:y val="0.0509259259259259"/>
          <c:w val="0.842645888013998"/>
          <c:h val="0.843397127442403"/>
        </c:manualLayout>
      </c:layout>
      <c:lineChart>
        <c:grouping val="standard"/>
        <c:varyColors val="false"/>
        <c:ser>
          <c:idx val="0"/>
          <c:order val="0"/>
          <c:tx>
            <c:strRef>
              <c:f>Sheet1!$B$203</c:f>
              <c:strCache>
                <c:ptCount val="1"/>
                <c:pt idx="0">
                  <c:v>2020年</c:v>
                </c:pt>
              </c:strCache>
            </c:strRef>
          </c:tx>
          <c:spPr>
            <a:ln w="28575" cap="rnd">
              <a:solidFill>
                <a:schemeClr val="accent1"/>
              </a:solidFill>
              <a:round/>
            </a:ln>
            <a:effectLst/>
          </c:spPr>
          <c:marker>
            <c:symbol val="circle"/>
            <c:size val="7"/>
            <c:spPr>
              <a:solidFill>
                <a:schemeClr val="bg1"/>
              </a:solidFill>
              <a:ln w="9525">
                <a:solidFill>
                  <a:schemeClr val="accent1"/>
                </a:solidFill>
              </a:ln>
              <a:effectLst/>
            </c:spPr>
          </c:marker>
          <c:dLbls>
            <c:delete val="true"/>
          </c:dLbls>
          <c:cat>
            <c:strRef>
              <c:f>Sheet1!$A$204:$A$215</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Sheet1!$B$204:$B$215</c:f>
              <c:numCache>
                <c:formatCode>General</c:formatCode>
                <c:ptCount val="12"/>
                <c:pt idx="0">
                  <c:v>36</c:v>
                </c:pt>
                <c:pt idx="1">
                  <c:v>20</c:v>
                </c:pt>
                <c:pt idx="2">
                  <c:v>29</c:v>
                </c:pt>
                <c:pt idx="3">
                  <c:v>40</c:v>
                </c:pt>
                <c:pt idx="4">
                  <c:v>32</c:v>
                </c:pt>
                <c:pt idx="5">
                  <c:v>27</c:v>
                </c:pt>
                <c:pt idx="6">
                  <c:v>27</c:v>
                </c:pt>
                <c:pt idx="7">
                  <c:v>20</c:v>
                </c:pt>
                <c:pt idx="8">
                  <c:v>39</c:v>
                </c:pt>
                <c:pt idx="9">
                  <c:v>42</c:v>
                </c:pt>
                <c:pt idx="10">
                  <c:v>48</c:v>
                </c:pt>
                <c:pt idx="11">
                  <c:v>56</c:v>
                </c:pt>
              </c:numCache>
            </c:numRef>
          </c:val>
          <c:smooth val="false"/>
        </c:ser>
        <c:ser>
          <c:idx val="1"/>
          <c:order val="1"/>
          <c:tx>
            <c:strRef>
              <c:f>Sheet1!$C$203</c:f>
              <c:strCache>
                <c:ptCount val="1"/>
                <c:pt idx="0">
                  <c:v>2021年</c:v>
                </c:pt>
              </c:strCache>
            </c:strRef>
          </c:tx>
          <c:spPr>
            <a:ln w="28575" cap="rnd">
              <a:solidFill>
                <a:schemeClr val="accent2"/>
              </a:solidFill>
              <a:round/>
            </a:ln>
            <a:effectLst/>
          </c:spPr>
          <c:marker>
            <c:symbol val="circle"/>
            <c:size val="7"/>
            <c:spPr>
              <a:solidFill>
                <a:schemeClr val="bg1"/>
              </a:solidFill>
              <a:ln w="9525">
                <a:solidFill>
                  <a:schemeClr val="accent2"/>
                </a:solidFill>
              </a:ln>
              <a:effectLst/>
            </c:spPr>
          </c:marker>
          <c:dLbls>
            <c:delete val="true"/>
          </c:dLbls>
          <c:cat>
            <c:strRef>
              <c:f>Sheet1!$A$204:$A$215</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Sheet1!$C$204:$C$215</c:f>
              <c:numCache>
                <c:formatCode>General</c:formatCode>
                <c:ptCount val="12"/>
                <c:pt idx="0">
                  <c:v>50</c:v>
                </c:pt>
                <c:pt idx="1">
                  <c:v>32</c:v>
                </c:pt>
                <c:pt idx="2">
                  <c:v>43</c:v>
                </c:pt>
                <c:pt idx="3">
                  <c:v>39</c:v>
                </c:pt>
                <c:pt idx="4">
                  <c:v>30</c:v>
                </c:pt>
                <c:pt idx="5">
                  <c:v>26</c:v>
                </c:pt>
                <c:pt idx="6">
                  <c:v>18</c:v>
                </c:pt>
                <c:pt idx="7">
                  <c:v>25</c:v>
                </c:pt>
                <c:pt idx="8">
                  <c:v>27</c:v>
                </c:pt>
                <c:pt idx="9">
                  <c:v>33</c:v>
                </c:pt>
                <c:pt idx="10">
                  <c:v>53</c:v>
                </c:pt>
                <c:pt idx="11">
                  <c:v>60</c:v>
                </c:pt>
              </c:numCache>
            </c:numRef>
          </c:val>
          <c:smooth val="false"/>
        </c:ser>
        <c:ser>
          <c:idx val="2"/>
          <c:order val="2"/>
          <c:tx>
            <c:strRef>
              <c:f>Sheet1!$D$203</c:f>
              <c:strCache>
                <c:ptCount val="1"/>
                <c:pt idx="0">
                  <c:v>年均二级标准</c:v>
                </c:pt>
              </c:strCache>
            </c:strRef>
          </c:tx>
          <c:spPr>
            <a:ln w="19050" cap="rnd">
              <a:solidFill>
                <a:schemeClr val="tx1"/>
              </a:solidFill>
              <a:prstDash val="dash"/>
              <a:round/>
            </a:ln>
            <a:effectLst/>
          </c:spPr>
          <c:marker>
            <c:symbol val="none"/>
          </c:marker>
          <c:dLbls>
            <c:delete val="true"/>
          </c:dLbls>
          <c:cat>
            <c:strRef>
              <c:f>Sheet1!$A$204:$A$215</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Sheet1!$D$204:$D$215</c:f>
              <c:numCache>
                <c:formatCode>General</c:formatCode>
                <c:ptCount val="12"/>
                <c:pt idx="0">
                  <c:v>40</c:v>
                </c:pt>
                <c:pt idx="1">
                  <c:v>40</c:v>
                </c:pt>
                <c:pt idx="2">
                  <c:v>40</c:v>
                </c:pt>
                <c:pt idx="3">
                  <c:v>40</c:v>
                </c:pt>
                <c:pt idx="4">
                  <c:v>40</c:v>
                </c:pt>
                <c:pt idx="5">
                  <c:v>40</c:v>
                </c:pt>
                <c:pt idx="6">
                  <c:v>40</c:v>
                </c:pt>
                <c:pt idx="7">
                  <c:v>40</c:v>
                </c:pt>
                <c:pt idx="8">
                  <c:v>40</c:v>
                </c:pt>
                <c:pt idx="9">
                  <c:v>40</c:v>
                </c:pt>
                <c:pt idx="10">
                  <c:v>40</c:v>
                </c:pt>
                <c:pt idx="11">
                  <c:v>40</c:v>
                </c:pt>
              </c:numCache>
            </c:numRef>
          </c:val>
          <c:smooth val="false"/>
        </c:ser>
        <c:dLbls>
          <c:showLegendKey val="false"/>
          <c:showVal val="false"/>
          <c:showCatName val="false"/>
          <c:showSerName val="false"/>
          <c:showPercent val="false"/>
          <c:showBubbleSize val="false"/>
        </c:dLbls>
        <c:marker val="true"/>
        <c:smooth val="false"/>
        <c:axId val="-1420583680"/>
        <c:axId val="-1420589120"/>
      </c:lineChart>
      <c:catAx>
        <c:axId val="-1420583680"/>
        <c:scaling>
          <c:orientation val="minMax"/>
        </c:scaling>
        <c:delete val="false"/>
        <c:axPos val="b"/>
        <c:numFmt formatCode="General" sourceLinked="tru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420589120"/>
        <c:crosses val="autoZero"/>
        <c:auto val="true"/>
        <c:lblAlgn val="ctr"/>
        <c:lblOffset val="100"/>
        <c:noMultiLvlLbl val="false"/>
      </c:catAx>
      <c:valAx>
        <c:axId val="-1420589120"/>
        <c:scaling>
          <c:orientation val="minMax"/>
        </c:scaling>
        <c:delete val="false"/>
        <c:axPos val="l"/>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en-US"/>
                  <a:t>二氧化氮（微克</a:t>
                </a:r>
                <a:r>
                  <a:rPr lang="en-US" altLang="zh-CN"/>
                  <a:t>/</a:t>
                </a:r>
                <a:r>
                  <a:rPr lang="zh-CN" altLang="en-US"/>
                  <a:t>立方米）</a:t>
                </a:r>
                <a:endParaRPr lang="zh-CN" altLang="en-US"/>
              </a:p>
            </c:rich>
          </c:tx>
          <c:layout/>
          <c:overlay val="false"/>
          <c:spPr>
            <a:noFill/>
            <a:ln>
              <a:noFill/>
            </a:ln>
            <a:effectLst/>
          </c:spPr>
        </c:title>
        <c:numFmt formatCode="General" sourceLinked="tru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420583680"/>
        <c:crosses val="autoZero"/>
        <c:crossBetween val="between"/>
      </c:valAx>
      <c:spPr>
        <a:noFill/>
        <a:ln>
          <a:solidFill>
            <a:schemeClr val="tx1"/>
          </a:solidFill>
        </a:ln>
        <a:effectLst/>
      </c:spPr>
    </c:plotArea>
    <c:legend>
      <c:legendPos val="b"/>
      <c:layout>
        <c:manualLayout>
          <c:xMode val="edge"/>
          <c:yMode val="edge"/>
          <c:x val="0.162776374264692"/>
          <c:y val="0.0866612039874326"/>
          <c:w val="0.743569465994737"/>
          <c:h val="0.0707462088072324"/>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round/>
    </a:ln>
    <a:effectLst/>
  </c:spPr>
  <c:txPr>
    <a:bodyPr/>
    <a:lstStyle/>
    <a:p>
      <a:pPr>
        <a:defRPr lang="zh-CN"/>
      </a:pPr>
    </a:p>
  </c:txPr>
  <c:externalData r:id="rId1">
    <c:autoUpdate val="false"/>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71574399353927"/>
          <c:y val="0.0444251730258377"/>
          <c:w val="0.797870112389798"/>
          <c:h val="0.828082008616847"/>
        </c:manualLayout>
      </c:layout>
      <c:barChart>
        <c:barDir val="col"/>
        <c:grouping val="clustered"/>
        <c:varyColors val="false"/>
        <c:ser>
          <c:idx val="0"/>
          <c:order val="0"/>
          <c:tx>
            <c:strRef>
              <c:f>[公报作图.xlsx]Sheet1!$E$108</c:f>
              <c:strCache>
                <c:ptCount val="1"/>
                <c:pt idx="0">
                  <c:v>CO</c:v>
                </c:pt>
              </c:strCache>
            </c:strRef>
          </c:tx>
          <c:spPr>
            <a:gradFill rotWithShape="true">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false"/>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1400" b="1" i="0" u="none" strike="noStrike" kern="1200" baseline="0">
                    <a:solidFill>
                      <a:schemeClr val="bg1"/>
                    </a:solidFill>
                    <a:latin typeface="Times New Roman" charset="0"/>
                    <a:ea typeface="+mn-ea"/>
                    <a:cs typeface="Times New Roman" charset="0"/>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[公报作图.xlsx]Sheet1!$F$107:$G$107</c:f>
              <c:strCache>
                <c:ptCount val="2"/>
                <c:pt idx="0">
                  <c:v>2020年</c:v>
                </c:pt>
                <c:pt idx="1">
                  <c:v>2021年</c:v>
                </c:pt>
              </c:strCache>
            </c:strRef>
          </c:cat>
          <c:val>
            <c:numRef>
              <c:f>[公报作图.xlsx]Sheet1!$F$108:$G$108</c:f>
              <c:numCache>
                <c:formatCode>General</c:formatCode>
                <c:ptCount val="2"/>
                <c:pt idx="0">
                  <c:v>1</c:v>
                </c:pt>
                <c:pt idx="1">
                  <c:v>0.9</c:v>
                </c:pt>
              </c:numCache>
            </c:numRef>
          </c:val>
        </c:ser>
        <c:dLbls>
          <c:showLegendKey val="false"/>
          <c:showVal val="true"/>
          <c:showCatName val="false"/>
          <c:showSerName val="false"/>
          <c:showPercent val="false"/>
          <c:showBubbleSize val="false"/>
        </c:dLbls>
        <c:gapWidth val="219"/>
        <c:overlap val="-27"/>
        <c:axId val="545738752"/>
        <c:axId val="545740288"/>
      </c:barChart>
      <c:lineChart>
        <c:grouping val="standard"/>
        <c:varyColors val="false"/>
        <c:ser>
          <c:idx val="1"/>
          <c:order val="1"/>
          <c:tx>
            <c:strRef>
              <c:f>[公报作图.xlsx]Sheet1!$E$109</c:f>
              <c:strCache>
                <c:ptCount val="1"/>
                <c:pt idx="0">
                  <c:v>年均二级标准</c:v>
                </c:pt>
              </c:strCache>
            </c:strRef>
          </c:tx>
          <c:spPr>
            <a:ln w="19304" cap="rnd" cmpd="sng" algn="ctr">
              <a:solidFill>
                <a:schemeClr val="tx1"/>
              </a:solidFill>
              <a:prstDash val="sysDash"/>
              <a:round/>
            </a:ln>
            <a:effectLst>
              <a:outerShdw blurRad="40000" dist="23000" dir="5400000" rotWithShape="0">
                <a:srgbClr val="000000">
                  <a:alpha val="35000"/>
                </a:srgbClr>
              </a:outerShdw>
            </a:effectLst>
          </c:spPr>
          <c:marker>
            <c:symbol val="none"/>
          </c:marker>
          <c:dLbls>
            <c:delete val="true"/>
          </c:dLbls>
          <c:cat>
            <c:strRef>
              <c:f>[公报作图.xlsx]Sheet1!$F$107:$G$107</c:f>
              <c:strCache>
                <c:ptCount val="2"/>
                <c:pt idx="0">
                  <c:v>2020年</c:v>
                </c:pt>
                <c:pt idx="1">
                  <c:v>2021年</c:v>
                </c:pt>
              </c:strCache>
            </c:strRef>
          </c:cat>
          <c:val>
            <c:numRef>
              <c:f>[公报作图.xlsx]Sheet1!$F$109:$G$109</c:f>
              <c:numCache>
                <c:formatCode>General</c:formatCode>
                <c:ptCount val="2"/>
                <c:pt idx="0">
                  <c:v>4</c:v>
                </c:pt>
                <c:pt idx="1">
                  <c:v>4</c:v>
                </c:pt>
              </c:numCache>
            </c:numRef>
          </c:val>
          <c:smooth val="false"/>
        </c:ser>
        <c:dLbls>
          <c:showLegendKey val="false"/>
          <c:showVal val="true"/>
          <c:showCatName val="false"/>
          <c:showSerName val="false"/>
          <c:showPercent val="false"/>
          <c:showBubbleSize val="false"/>
        </c:dLbls>
        <c:marker val="false"/>
        <c:smooth val="false"/>
        <c:axId val="545738752"/>
        <c:axId val="545740288"/>
      </c:lineChart>
      <c:catAx>
        <c:axId val="545738752"/>
        <c:scaling>
          <c:orientation val="minMax"/>
        </c:scaling>
        <c:delete val="false"/>
        <c:axPos val="b"/>
        <c:numFmt formatCode="General" sourceLinked="tru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5740288"/>
        <c:crosses val="autoZero"/>
        <c:auto val="true"/>
        <c:lblAlgn val="ctr"/>
        <c:lblOffset val="0"/>
        <c:noMultiLvlLbl val="false"/>
      </c:catAx>
      <c:valAx>
        <c:axId val="545740288"/>
        <c:scaling>
          <c:orientation val="minMax"/>
        </c:scaling>
        <c:delete val="false"/>
        <c:axPos val="l"/>
        <c:title>
          <c:tx>
            <c:rich>
              <a:bodyPr rot="-54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r>
                  <a:rPr lang="zh-CN" altLang="en-US"/>
                  <a:t>一氧化碳</a:t>
                </a:r>
                <a:r>
                  <a:rPr lang="en-US" altLang="zh-CN"/>
                  <a:t>24</a:t>
                </a:r>
                <a:r>
                  <a:rPr lang="zh-CN" altLang="en-US"/>
                  <a:t>小时平均第</a:t>
                </a:r>
                <a:r>
                  <a:rPr lang="en-US" altLang="zh-CN"/>
                  <a:t>95</a:t>
                </a:r>
                <a:r>
                  <a:rPr lang="zh-CN" altLang="en-US"/>
                  <a:t>百分位数浓度（毫克</a:t>
                </a:r>
                <a:r>
                  <a:rPr lang="en-US" altLang="zh-CN"/>
                  <a:t>/</a:t>
                </a:r>
                <a:r>
                  <a:rPr lang="zh-CN" altLang="en-US"/>
                  <a:t>立方米）</a:t>
                </a:r>
                <a:endParaRPr lang="zh-CN" altLang="en-US"/>
              </a:p>
            </c:rich>
          </c:tx>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5738752"/>
        <c:crosses val="autoZero"/>
        <c:crossBetween val="between"/>
        <c:majorUnit val="1"/>
      </c:valAx>
      <c:spPr>
        <a:noFill/>
        <a:ln>
          <a:solidFill>
            <a:schemeClr val="tx1"/>
          </a:solidFill>
        </a:ln>
        <a:effectLst/>
      </c:spPr>
    </c:plotArea>
    <c:legend>
      <c:legendPos val="t"/>
      <c:layout>
        <c:manualLayout>
          <c:xMode val="edge"/>
          <c:yMode val="edge"/>
          <c:x val="0.282662172517575"/>
          <c:y val="0.0726172465960666"/>
          <c:w val="0.547510633808292"/>
          <c:h val="0.092473108032449"/>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51270778652668"/>
          <c:y val="0.0509259259259259"/>
          <c:w val="0.818173665791776"/>
          <c:h val="0.838767497812773"/>
        </c:manualLayout>
      </c:layout>
      <c:lineChart>
        <c:grouping val="standard"/>
        <c:varyColors val="false"/>
        <c:ser>
          <c:idx val="0"/>
          <c:order val="0"/>
          <c:tx>
            <c:strRef>
              <c:f>Sheet1!$B$219</c:f>
              <c:strCache>
                <c:ptCount val="1"/>
                <c:pt idx="0">
                  <c:v>2020年</c:v>
                </c:pt>
              </c:strCache>
            </c:strRef>
          </c:tx>
          <c:spPr>
            <a:ln w="28575" cap="rnd">
              <a:solidFill>
                <a:schemeClr val="accent1"/>
              </a:solidFill>
              <a:round/>
            </a:ln>
            <a:effectLst/>
          </c:spPr>
          <c:marker>
            <c:symbol val="circle"/>
            <c:size val="7"/>
            <c:spPr>
              <a:solidFill>
                <a:schemeClr val="bg1"/>
              </a:solidFill>
              <a:ln w="9525">
                <a:solidFill>
                  <a:schemeClr val="accent1"/>
                </a:solidFill>
              </a:ln>
              <a:effectLst/>
            </c:spPr>
          </c:marker>
          <c:dLbls>
            <c:delete val="true"/>
          </c:dLbls>
          <c:cat>
            <c:strRef>
              <c:f>Sheet1!$A$220:$A$231</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Sheet1!$B$220:$B$231</c:f>
              <c:numCache>
                <c:formatCode>General</c:formatCode>
                <c:ptCount val="12"/>
                <c:pt idx="0">
                  <c:v>1.4</c:v>
                </c:pt>
                <c:pt idx="1">
                  <c:v>0.8</c:v>
                </c:pt>
                <c:pt idx="2">
                  <c:v>0.6</c:v>
                </c:pt>
                <c:pt idx="3">
                  <c:v>0.8</c:v>
                </c:pt>
                <c:pt idx="4">
                  <c:v>0.8</c:v>
                </c:pt>
                <c:pt idx="5">
                  <c:v>0.6</c:v>
                </c:pt>
                <c:pt idx="6">
                  <c:v>0.6</c:v>
                </c:pt>
                <c:pt idx="7">
                  <c:v>0.6</c:v>
                </c:pt>
                <c:pt idx="8">
                  <c:v>0.8</c:v>
                </c:pt>
                <c:pt idx="9">
                  <c:v>0.6</c:v>
                </c:pt>
                <c:pt idx="10">
                  <c:v>0.9</c:v>
                </c:pt>
                <c:pt idx="11">
                  <c:v>1.2</c:v>
                </c:pt>
              </c:numCache>
            </c:numRef>
          </c:val>
          <c:smooth val="false"/>
        </c:ser>
        <c:ser>
          <c:idx val="1"/>
          <c:order val="1"/>
          <c:tx>
            <c:strRef>
              <c:f>Sheet1!$C$219</c:f>
              <c:strCache>
                <c:ptCount val="1"/>
                <c:pt idx="0">
                  <c:v>2021年</c:v>
                </c:pt>
              </c:strCache>
            </c:strRef>
          </c:tx>
          <c:spPr>
            <a:ln w="28575" cap="rnd">
              <a:solidFill>
                <a:schemeClr val="accent2"/>
              </a:solidFill>
              <a:round/>
            </a:ln>
            <a:effectLst/>
          </c:spPr>
          <c:marker>
            <c:symbol val="circle"/>
            <c:size val="7"/>
            <c:spPr>
              <a:solidFill>
                <a:schemeClr val="bg1"/>
              </a:solidFill>
              <a:ln w="9525">
                <a:solidFill>
                  <a:schemeClr val="accent2"/>
                </a:solidFill>
              </a:ln>
              <a:effectLst/>
            </c:spPr>
          </c:marker>
          <c:dLbls>
            <c:delete val="true"/>
          </c:dLbls>
          <c:cat>
            <c:strRef>
              <c:f>Sheet1!$A$220:$A$231</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Sheet1!$C$220:$C$231</c:f>
              <c:numCache>
                <c:formatCode>General</c:formatCode>
                <c:ptCount val="12"/>
                <c:pt idx="0">
                  <c:v>0.7</c:v>
                </c:pt>
                <c:pt idx="1">
                  <c:v>0.5</c:v>
                </c:pt>
                <c:pt idx="2">
                  <c:v>0.6</c:v>
                </c:pt>
                <c:pt idx="3">
                  <c:v>0.6</c:v>
                </c:pt>
                <c:pt idx="4">
                  <c:v>0.6</c:v>
                </c:pt>
                <c:pt idx="5">
                  <c:v>0.5</c:v>
                </c:pt>
                <c:pt idx="6">
                  <c:v>0.4</c:v>
                </c:pt>
                <c:pt idx="7">
                  <c:v>0.5</c:v>
                </c:pt>
                <c:pt idx="8">
                  <c:v>0.5</c:v>
                </c:pt>
                <c:pt idx="9">
                  <c:v>0.5</c:v>
                </c:pt>
                <c:pt idx="10">
                  <c:v>0.7</c:v>
                </c:pt>
                <c:pt idx="11">
                  <c:v>1.3</c:v>
                </c:pt>
              </c:numCache>
            </c:numRef>
          </c:val>
          <c:smooth val="false"/>
        </c:ser>
        <c:ser>
          <c:idx val="2"/>
          <c:order val="2"/>
          <c:tx>
            <c:strRef>
              <c:f>Sheet1!$D$219</c:f>
              <c:strCache>
                <c:ptCount val="1"/>
                <c:pt idx="0">
                  <c:v>年均二级标准</c:v>
                </c:pt>
              </c:strCache>
            </c:strRef>
          </c:tx>
          <c:spPr>
            <a:ln w="19050" cap="rnd">
              <a:solidFill>
                <a:schemeClr val="tx1"/>
              </a:solidFill>
              <a:prstDash val="dash"/>
              <a:round/>
            </a:ln>
            <a:effectLst/>
          </c:spPr>
          <c:marker>
            <c:symbol val="none"/>
          </c:marker>
          <c:dLbls>
            <c:delete val="true"/>
          </c:dLbls>
          <c:cat>
            <c:strRef>
              <c:f>Sheet1!$A$220:$A$231</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Sheet1!$D$220:$D$231</c:f>
              <c:numCache>
                <c:formatCode>General</c:formatCode>
                <c:ptCount val="12"/>
                <c:pt idx="0">
                  <c:v>4</c:v>
                </c:pt>
                <c:pt idx="1">
                  <c:v>4</c:v>
                </c:pt>
                <c:pt idx="2">
                  <c:v>4</c:v>
                </c:pt>
                <c:pt idx="3">
                  <c:v>4</c:v>
                </c:pt>
                <c:pt idx="4">
                  <c:v>4</c:v>
                </c:pt>
                <c:pt idx="5">
                  <c:v>4</c:v>
                </c:pt>
                <c:pt idx="6">
                  <c:v>4</c:v>
                </c:pt>
                <c:pt idx="7">
                  <c:v>4</c:v>
                </c:pt>
                <c:pt idx="8">
                  <c:v>4</c:v>
                </c:pt>
                <c:pt idx="9">
                  <c:v>4</c:v>
                </c:pt>
                <c:pt idx="10">
                  <c:v>4</c:v>
                </c:pt>
                <c:pt idx="11">
                  <c:v>4</c:v>
                </c:pt>
              </c:numCache>
            </c:numRef>
          </c:val>
          <c:smooth val="false"/>
        </c:ser>
        <c:dLbls>
          <c:showLegendKey val="false"/>
          <c:showVal val="false"/>
          <c:showCatName val="false"/>
          <c:showSerName val="false"/>
          <c:showPercent val="false"/>
          <c:showBubbleSize val="false"/>
        </c:dLbls>
        <c:marker val="true"/>
        <c:smooth val="false"/>
        <c:axId val="-1227085712"/>
        <c:axId val="-1227087888"/>
      </c:lineChart>
      <c:catAx>
        <c:axId val="-1227085712"/>
        <c:scaling>
          <c:orientation val="minMax"/>
        </c:scaling>
        <c:delete val="false"/>
        <c:axPos val="b"/>
        <c:numFmt formatCode="General" sourceLinked="tru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227087888"/>
        <c:crosses val="autoZero"/>
        <c:auto val="true"/>
        <c:lblAlgn val="ctr"/>
        <c:lblOffset val="100"/>
        <c:noMultiLvlLbl val="false"/>
      </c:catAx>
      <c:valAx>
        <c:axId val="-1227087888"/>
        <c:scaling>
          <c:orientation val="minMax"/>
        </c:scaling>
        <c:delete val="false"/>
        <c:axPos val="l"/>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en-US"/>
                  <a:t>一氧化碳</a:t>
                </a:r>
                <a:r>
                  <a:rPr lang="en-US" altLang="zh-CN"/>
                  <a:t>24</a:t>
                </a:r>
                <a:r>
                  <a:rPr lang="zh-CN" altLang="en-US"/>
                  <a:t>小时平均第</a:t>
                </a:r>
                <a:r>
                  <a:rPr lang="en-US" altLang="zh-CN"/>
                  <a:t>95</a:t>
                </a:r>
                <a:r>
                  <a:rPr lang="zh-CN" altLang="en-US"/>
                  <a:t>百分位数浓度（毫克</a:t>
                </a:r>
                <a:r>
                  <a:rPr lang="en-US" altLang="zh-CN"/>
                  <a:t>/</a:t>
                </a:r>
                <a:r>
                  <a:rPr lang="zh-CN" altLang="en-US"/>
                  <a:t>立方米）</a:t>
                </a:r>
                <a:endParaRPr lang="zh-CN" altLang="en-US"/>
              </a:p>
            </c:rich>
          </c:tx>
          <c:layout/>
          <c:overlay val="false"/>
          <c:spPr>
            <a:noFill/>
            <a:ln>
              <a:noFill/>
            </a:ln>
            <a:effectLst/>
          </c:spPr>
        </c:title>
        <c:numFmt formatCode="General" sourceLinked="tru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1227085712"/>
        <c:crosses val="autoZero"/>
        <c:crossBetween val="between"/>
        <c:majorUnit val="1"/>
      </c:valAx>
      <c:spPr>
        <a:noFill/>
        <a:ln>
          <a:solidFill>
            <a:schemeClr val="tx1"/>
          </a:solidFill>
        </a:ln>
        <a:effectLst/>
      </c:spPr>
    </c:plotArea>
    <c:legend>
      <c:legendPos val="b"/>
      <c:layout>
        <c:manualLayout>
          <c:xMode val="edge"/>
          <c:yMode val="edge"/>
          <c:x val="0.219630925118424"/>
          <c:y val="0.0866611822775884"/>
          <c:w val="0.715961612866121"/>
          <c:h val="0.0707462088072324"/>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round/>
    </a:ln>
    <a:effectLst/>
  </c:spPr>
  <c:txPr>
    <a:bodyPr/>
    <a:lstStyle/>
    <a:p>
      <a:pPr>
        <a:defRPr lang="zh-CN"/>
      </a:pPr>
    </a:p>
  </c:txPr>
  <c:externalData r:id="rId1">
    <c:autoUpdate val="false"/>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91012902018657"/>
          <c:y val="0.070007201843672"/>
          <c:w val="0.791120383670105"/>
          <c:h val="0.760952072771726"/>
        </c:manualLayout>
      </c:layout>
      <c:barChart>
        <c:barDir val="col"/>
        <c:grouping val="clustered"/>
        <c:varyColors val="false"/>
        <c:ser>
          <c:idx val="0"/>
          <c:order val="0"/>
          <c:tx>
            <c:strRef>
              <c:f>[公报作图.xlsx]Sheet1!$E$124</c:f>
              <c:strCache>
                <c:ptCount val="1"/>
                <c:pt idx="0">
                  <c:v>总悬浮颗粒物</c:v>
                </c:pt>
              </c:strCache>
            </c:strRef>
          </c:tx>
          <c:spPr>
            <a:gradFill rotWithShape="true">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false"/>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1400" b="1" i="0" u="none" strike="noStrike" kern="1200" baseline="0">
                    <a:solidFill>
                      <a:schemeClr val="bg1"/>
                    </a:solidFill>
                    <a:latin typeface="Times New Roman" charset="0"/>
                    <a:ea typeface="+mn-ea"/>
                    <a:cs typeface="Times New Roman" charset="0"/>
                  </a:defRPr>
                </a:pPr>
              </a:p>
            </c:txPr>
            <c:dLblPos val="ctr"/>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[公报作图.xlsx]Sheet1!$F$123:$G$123</c:f>
              <c:strCache>
                <c:ptCount val="2"/>
                <c:pt idx="0">
                  <c:v>2020年</c:v>
                </c:pt>
                <c:pt idx="1">
                  <c:v>2021年</c:v>
                </c:pt>
              </c:strCache>
            </c:strRef>
          </c:cat>
          <c:val>
            <c:numRef>
              <c:f>[公报作图.xlsx]Sheet1!$F$124:$G$124</c:f>
              <c:numCache>
                <c:formatCode>General</c:formatCode>
                <c:ptCount val="2"/>
                <c:pt idx="0">
                  <c:v>76</c:v>
                </c:pt>
                <c:pt idx="1">
                  <c:v>94</c:v>
                </c:pt>
              </c:numCache>
            </c:numRef>
          </c:val>
        </c:ser>
        <c:dLbls>
          <c:showLegendKey val="false"/>
          <c:showVal val="true"/>
          <c:showCatName val="false"/>
          <c:showSerName val="false"/>
          <c:showPercent val="false"/>
          <c:showBubbleSize val="false"/>
        </c:dLbls>
        <c:gapWidth val="219"/>
        <c:overlap val="-27"/>
        <c:axId val="546068352"/>
        <c:axId val="546069888"/>
      </c:barChart>
      <c:lineChart>
        <c:grouping val="standard"/>
        <c:varyColors val="false"/>
        <c:ser>
          <c:idx val="1"/>
          <c:order val="1"/>
          <c:tx>
            <c:strRef>
              <c:f>[公报作图.xlsx]Sheet1!$E$125</c:f>
              <c:strCache>
                <c:ptCount val="1"/>
                <c:pt idx="0">
                  <c:v>年均二级标准</c:v>
                </c:pt>
              </c:strCache>
            </c:strRef>
          </c:tx>
          <c:spPr>
            <a:ln w="34925" cap="rnd" cmpd="sng" algn="ctr">
              <a:solidFill>
                <a:schemeClr val="tx1"/>
              </a:solidFill>
              <a:prstDash val="sysDash"/>
              <a:round/>
            </a:ln>
            <a:effectLst>
              <a:outerShdw blurRad="40000" dist="23000" dir="5400000" rotWithShape="0">
                <a:srgbClr val="000000">
                  <a:alpha val="35000"/>
                </a:srgbClr>
              </a:outerShdw>
            </a:effectLst>
          </c:spPr>
          <c:marker>
            <c:symbol val="none"/>
          </c:marker>
          <c:dPt>
            <c:idx val="1"/>
            <c:marker>
              <c:symbol val="none"/>
            </c:marker>
            <c:bubble3D val="false"/>
            <c:spPr>
              <a:ln w="19050" cap="rnd" cmpd="sng" algn="ctr">
                <a:solidFill>
                  <a:schemeClr val="tx1"/>
                </a:solidFill>
                <a:prstDash val="dash"/>
                <a:round/>
              </a:ln>
              <a:effectLst>
                <a:outerShdw blurRad="40000" dist="23000" dir="5400000" rotWithShape="0">
                  <a:srgbClr val="000000">
                    <a:alpha val="35000"/>
                  </a:srgbClr>
                </a:outerShdw>
              </a:effectLst>
            </c:spPr>
          </c:dPt>
          <c:dLbls>
            <c:delete val="true"/>
          </c:dLbls>
          <c:cat>
            <c:strRef>
              <c:f>[公报作图.xlsx]Sheet1!$F$123:$G$123</c:f>
              <c:strCache>
                <c:ptCount val="2"/>
                <c:pt idx="0">
                  <c:v>2020年</c:v>
                </c:pt>
                <c:pt idx="1">
                  <c:v>2021年</c:v>
                </c:pt>
              </c:strCache>
            </c:strRef>
          </c:cat>
          <c:val>
            <c:numRef>
              <c:f>[公报作图.xlsx]Sheet1!$F$125:$G$125</c:f>
              <c:numCache>
                <c:formatCode>General</c:formatCode>
                <c:ptCount val="2"/>
                <c:pt idx="0">
                  <c:v>200</c:v>
                </c:pt>
                <c:pt idx="1">
                  <c:v>200</c:v>
                </c:pt>
              </c:numCache>
            </c:numRef>
          </c:val>
          <c:smooth val="false"/>
        </c:ser>
        <c:dLbls>
          <c:showLegendKey val="false"/>
          <c:showVal val="true"/>
          <c:showCatName val="false"/>
          <c:showSerName val="false"/>
          <c:showPercent val="false"/>
          <c:showBubbleSize val="false"/>
        </c:dLbls>
        <c:marker val="false"/>
        <c:smooth val="false"/>
        <c:axId val="546068352"/>
        <c:axId val="546069888"/>
      </c:lineChart>
      <c:catAx>
        <c:axId val="546068352"/>
        <c:scaling>
          <c:orientation val="minMax"/>
        </c:scaling>
        <c:delete val="false"/>
        <c:axPos val="b"/>
        <c:numFmt formatCode="General" sourceLinked="tru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6069888"/>
        <c:crosses val="autoZero"/>
        <c:auto val="true"/>
        <c:lblAlgn val="ctr"/>
        <c:lblOffset val="5"/>
        <c:noMultiLvlLbl val="false"/>
      </c:catAx>
      <c:valAx>
        <c:axId val="546069888"/>
        <c:scaling>
          <c:orientation val="minMax"/>
          <c:max val="300"/>
        </c:scaling>
        <c:delete val="false"/>
        <c:axPos val="l"/>
        <c:title>
          <c:tx>
            <c:rich>
              <a:bodyPr rot="-54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r>
                  <a:rPr lang="zh-CN" altLang="en-US"/>
                  <a:t>总悬浮颗粒物（微克</a:t>
                </a:r>
                <a:r>
                  <a:rPr lang="en-US" altLang="zh-CN"/>
                  <a:t>/</a:t>
                </a:r>
                <a:r>
                  <a:rPr lang="zh-CN" altLang="en-US"/>
                  <a:t>立方米）</a:t>
                </a:r>
                <a:endParaRPr lang="zh-CN" altLang="en-US"/>
              </a:p>
            </c:rich>
          </c:tx>
          <c:layout>
            <c:manualLayout>
              <c:xMode val="edge"/>
              <c:yMode val="edge"/>
              <c:x val="0.0178667143112382"/>
              <c:y val="0.0626901286729403"/>
            </c:manualLayout>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6068352"/>
        <c:crosses val="autoZero"/>
        <c:crossBetween val="between"/>
      </c:valAx>
      <c:spPr>
        <a:noFill/>
        <a:ln w="9525">
          <a:solidFill>
            <a:schemeClr val="tx1"/>
          </a:solidFill>
        </a:ln>
        <a:effectLst/>
      </c:spPr>
    </c:plotArea>
    <c:legend>
      <c:legendPos val="t"/>
      <c:layout>
        <c:manualLayout>
          <c:xMode val="edge"/>
          <c:yMode val="edge"/>
          <c:x val="0.18340168172207"/>
          <c:y val="0.0731707317073171"/>
          <c:w val="0.733249955333214"/>
          <c:h val="0.108299884770501"/>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179948454524449"/>
          <c:y val="0.063580830174006"/>
          <c:w val="0.789436376886298"/>
          <c:h val="0.818329153300282"/>
        </c:manualLayout>
      </c:layout>
      <c:lineChart>
        <c:grouping val="standard"/>
        <c:varyColors val="false"/>
        <c:ser>
          <c:idx val="3"/>
          <c:order val="0"/>
          <c:tx>
            <c:strRef>
              <c:f>'[2021年质量报告书-补充数据（实况）.xlsx]2015-2020年其它环境空气指标年均值'!$F$44</c:f>
              <c:strCache>
                <c:ptCount val="1"/>
                <c:pt idx="0">
                  <c:v>2020年</c:v>
                </c:pt>
              </c:strCache>
            </c:strRef>
          </c:tx>
          <c:spPr>
            <a:ln w="19050" cap="rnd" cmpd="sng" algn="ctr">
              <a:solidFill>
                <a:srgbClr val="4F81BD"/>
              </a:solidFill>
              <a:prstDash val="solid"/>
              <a:round/>
            </a:ln>
            <a:effectLst/>
          </c:spPr>
          <c:marker>
            <c:symbol val="circle"/>
            <c:size val="7"/>
            <c:spPr>
              <a:solidFill>
                <a:sysClr val="window" lastClr="FFFFFF"/>
              </a:solidFill>
              <a:ln w="9525" cap="flat" cmpd="sng" algn="ctr">
                <a:solidFill>
                  <a:srgbClr val="4F81BD"/>
                </a:solidFill>
                <a:prstDash val="solid"/>
                <a:round/>
              </a:ln>
              <a:effectLst/>
            </c:spPr>
          </c:marker>
          <c:dLbls>
            <c:delete val="true"/>
          </c:dLbls>
          <c:cat>
            <c:strRef>
              <c:f>'[2021年质量报告书-补充数据（实况）.xlsx]2015-2020年其它环境空气指标年均值'!$B$45:$B$56</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'[2021年质量报告书-补充数据（实况）.xlsx]2015-2020年其它环境空气指标年均值'!$F$45:$F$56</c:f>
              <c:numCache>
                <c:formatCode>0.0_ </c:formatCode>
                <c:ptCount val="12"/>
                <c:pt idx="0">
                  <c:v>2.3</c:v>
                </c:pt>
                <c:pt idx="1">
                  <c:v>2.3</c:v>
                </c:pt>
                <c:pt idx="2">
                  <c:v>1.7</c:v>
                </c:pt>
                <c:pt idx="3">
                  <c:v>3.3</c:v>
                </c:pt>
                <c:pt idx="4">
                  <c:v>5.2</c:v>
                </c:pt>
                <c:pt idx="5">
                  <c:v>2.9</c:v>
                </c:pt>
                <c:pt idx="6">
                  <c:v>7.8</c:v>
                </c:pt>
                <c:pt idx="7">
                  <c:v>9.9</c:v>
                </c:pt>
                <c:pt idx="8">
                  <c:v>2.3</c:v>
                </c:pt>
                <c:pt idx="9">
                  <c:v>1.2</c:v>
                </c:pt>
                <c:pt idx="10">
                  <c:v>1.1</c:v>
                </c:pt>
                <c:pt idx="11">
                  <c:v>1.7</c:v>
                </c:pt>
              </c:numCache>
            </c:numRef>
          </c:val>
          <c:smooth val="false"/>
        </c:ser>
        <c:ser>
          <c:idx val="4"/>
          <c:order val="1"/>
          <c:tx>
            <c:strRef>
              <c:f>'[2021年质量报告书-补充数据（实况）.xlsx]2015-2020年其它环境空气指标年均值'!$G$44</c:f>
              <c:strCache>
                <c:ptCount val="1"/>
                <c:pt idx="0">
                  <c:v>2021年</c:v>
                </c:pt>
              </c:strCache>
            </c:strRef>
          </c:tx>
          <c:spPr>
            <a:ln w="19050" cap="rnd" cmpd="sng" algn="ctr">
              <a:solidFill>
                <a:srgbClr val="C0504D"/>
              </a:solidFill>
              <a:prstDash val="solid"/>
              <a:round/>
            </a:ln>
            <a:effectLst/>
          </c:spPr>
          <c:marker>
            <c:symbol val="circle"/>
            <c:size val="7"/>
            <c:spPr>
              <a:solidFill>
                <a:sysClr val="window" lastClr="FFFFFF"/>
              </a:solidFill>
              <a:ln w="9525" cap="flat" cmpd="sng" algn="ctr">
                <a:solidFill>
                  <a:srgbClr val="C0504D"/>
                </a:solidFill>
                <a:prstDash val="solid"/>
                <a:round/>
              </a:ln>
              <a:effectLst/>
            </c:spPr>
          </c:marker>
          <c:dLbls>
            <c:delete val="true"/>
          </c:dLbls>
          <c:cat>
            <c:strRef>
              <c:f>'[2021年质量报告书-补充数据（实况）.xlsx]2015-2020年其它环境空气指标年均值'!$B$45:$B$56</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'[2021年质量报告书-补充数据（实况）.xlsx]2015-2020年其它环境空气指标年均值'!$G$45:$G$56</c:f>
              <c:numCache>
                <c:formatCode>0.0_ </c:formatCode>
                <c:ptCount val="12"/>
                <c:pt idx="0">
                  <c:v>4.9</c:v>
                </c:pt>
                <c:pt idx="1">
                  <c:v>3.7</c:v>
                </c:pt>
                <c:pt idx="2">
                  <c:v>3.4</c:v>
                </c:pt>
                <c:pt idx="3">
                  <c:v>4.3</c:v>
                </c:pt>
                <c:pt idx="4">
                  <c:v>5.1</c:v>
                </c:pt>
                <c:pt idx="5">
                  <c:v>6.8</c:v>
                </c:pt>
                <c:pt idx="6">
                  <c:v>8.8</c:v>
                </c:pt>
                <c:pt idx="7">
                  <c:v>1.7</c:v>
                </c:pt>
                <c:pt idx="8">
                  <c:v>2.7</c:v>
                </c:pt>
                <c:pt idx="9">
                  <c:v>4.68181818181818</c:v>
                </c:pt>
                <c:pt idx="10">
                  <c:v>3.4</c:v>
                </c:pt>
                <c:pt idx="11">
                  <c:v>2.2</c:v>
                </c:pt>
              </c:numCache>
            </c:numRef>
          </c:val>
          <c:smooth val="false"/>
        </c:ser>
        <c:dLbls>
          <c:showLegendKey val="false"/>
          <c:showVal val="false"/>
          <c:showCatName val="false"/>
          <c:showSerName val="false"/>
          <c:showPercent val="false"/>
          <c:showBubbleSize val="false"/>
        </c:dLbls>
        <c:marker val="true"/>
        <c:smooth val="false"/>
        <c:axId val="546398976"/>
        <c:axId val="546400512"/>
      </c:lineChart>
      <c:catAx>
        <c:axId val="546398976"/>
        <c:scaling>
          <c:orientation val="minMax"/>
        </c:scaling>
        <c:delete val="false"/>
        <c:axPos val="b"/>
        <c:numFmt formatCode="General" sourceLinked="true"/>
        <c:majorTickMark val="none"/>
        <c:minorTickMark val="none"/>
        <c:tickLblPos val="nextTo"/>
        <c:spPr>
          <a:noFill/>
          <a:ln w="9525" cap="flat" cmpd="sng" algn="ctr">
            <a:solidFill>
              <a:sysClr val="windowText" lastClr="000000"/>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6400512"/>
        <c:crosses val="autoZero"/>
        <c:auto val="true"/>
        <c:lblAlgn val="ctr"/>
        <c:lblOffset val="0"/>
        <c:noMultiLvlLbl val="false"/>
      </c:catAx>
      <c:valAx>
        <c:axId val="546400512"/>
        <c:scaling>
          <c:orientation val="minMax"/>
        </c:scaling>
        <c:delete val="false"/>
        <c:axPos val="l"/>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zh-CN" sz="1000" b="0" i="0" baseline="0">
                    <a:effectLst/>
                  </a:rPr>
                  <a:t>降尘</a:t>
                </a:r>
                <a:r>
                  <a:rPr lang="zh-CN" altLang="en-US" sz="1000" b="0" i="0" baseline="0">
                    <a:effectLst/>
                  </a:rPr>
                  <a:t>月</a:t>
                </a:r>
                <a:r>
                  <a:rPr lang="zh-CN" altLang="zh-CN" sz="1000" b="0" i="0" baseline="0">
                    <a:effectLst/>
                  </a:rPr>
                  <a:t>均浓度</a:t>
                </a:r>
                <a:endParaRPr lang="en-US" altLang="zh-CN" sz="1000" b="0" i="0" baseline="0">
                  <a:effectLst/>
                </a:endParaRPr>
              </a:p>
              <a:p>
                <a:pPr>
                  <a:defRPr lang="zh-CN" sz="1000" b="0" i="0" u="none" strike="noStrike" kern="1200" baseline="0">
                    <a:solidFill>
                      <a:schemeClr val="tx1">
                        <a:lumMod val="65000"/>
                        <a:lumOff val="35000"/>
                      </a:schemeClr>
                    </a:solidFill>
                    <a:latin typeface="+mn-lt"/>
                    <a:ea typeface="+mn-ea"/>
                    <a:cs typeface="+mn-cs"/>
                  </a:defRPr>
                </a:pPr>
                <a:r>
                  <a:rPr lang="zh-CN" altLang="zh-CN" sz="1000" b="0" i="0" baseline="0">
                    <a:effectLst/>
                  </a:rPr>
                  <a:t>（吨</a:t>
                </a:r>
                <a:r>
                  <a:rPr lang="en-US" altLang="zh-CN" sz="1000" b="0" i="0" baseline="0">
                    <a:effectLst/>
                  </a:rPr>
                  <a:t>/</a:t>
                </a:r>
                <a:r>
                  <a:rPr lang="zh-CN" altLang="zh-CN" sz="1000" b="0" i="0" baseline="0">
                    <a:effectLst/>
                  </a:rPr>
                  <a:t>平方公里</a:t>
                </a:r>
                <a:r>
                  <a:rPr lang="en-US" altLang="zh-CN" sz="1000" b="0" i="0" baseline="0">
                    <a:effectLst/>
                  </a:rPr>
                  <a:t>·</a:t>
                </a:r>
                <a:r>
                  <a:rPr lang="zh-CN" altLang="zh-CN" sz="1000" b="0" i="0" baseline="0">
                    <a:effectLst/>
                  </a:rPr>
                  <a:t>月）</a:t>
                </a:r>
                <a:endParaRPr lang="zh-CN" altLang="zh-CN" sz="1000" b="0" i="0" baseline="0">
                  <a:effectLst/>
                </a:endParaRPr>
              </a:p>
            </c:rich>
          </c:tx>
          <c:layout>
            <c:manualLayout>
              <c:xMode val="edge"/>
              <c:yMode val="edge"/>
              <c:x val="0.0166991372112441"/>
              <c:y val="0.179263925342665"/>
            </c:manualLayout>
          </c:layout>
          <c:overlay val="false"/>
          <c:spPr>
            <a:noFill/>
            <a:ln>
              <a:noFill/>
            </a:ln>
            <a:effectLst/>
          </c:spPr>
        </c:title>
        <c:numFmt formatCode="0_ " sourceLinked="false"/>
        <c:majorTickMark val="none"/>
        <c:minorTickMark val="none"/>
        <c:tickLblPos val="nextTo"/>
        <c:spPr>
          <a:noFill/>
          <a:ln w="9525"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6398976"/>
        <c:crosses val="autoZero"/>
        <c:crossBetween val="between"/>
      </c:valAx>
      <c:spPr>
        <a:noFill/>
        <a:ln>
          <a:solidFill>
            <a:sysClr val="windowText" lastClr="000000"/>
          </a:solidFill>
        </a:ln>
        <a:effectLst/>
      </c:spPr>
    </c:plotArea>
    <c:legend>
      <c:legendPos val="t"/>
      <c:layout>
        <c:manualLayout>
          <c:xMode val="edge"/>
          <c:yMode val="edge"/>
          <c:x val="0.601619728649978"/>
          <c:y val="0.0888888888888889"/>
          <c:w val="0.342265472451902"/>
          <c:h val="0.0833339165937591"/>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noFill/>
    <a:ln w="9525" cap="flat" cmpd="sng" algn="ctr">
      <a:noFill/>
      <a:prstDash val="solid"/>
      <a:round/>
    </a:ln>
    <a:effectLst/>
  </c:spPr>
  <c:txPr>
    <a:bodyPr/>
    <a:lstStyle/>
    <a:p>
      <a:pPr>
        <a:defRPr lang="zh-CN"/>
      </a:pPr>
    </a:p>
  </c:txPr>
  <c:externalData r:id="rId1">
    <c:autoUpdate val="false"/>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73372886528719"/>
          <c:y val="0.0487373737373737"/>
          <c:w val="0.789633888787157"/>
          <c:h val="0.776925753598982"/>
        </c:manualLayout>
      </c:layout>
      <c:barChart>
        <c:barDir val="col"/>
        <c:grouping val="clustered"/>
        <c:varyColors val="false"/>
        <c:ser>
          <c:idx val="0"/>
          <c:order val="0"/>
          <c:tx>
            <c:strRef>
              <c:f>'[数据处理--第四章降水.xlsx]年度对比分析'!$B$123</c:f>
              <c:strCache>
                <c:ptCount val="1"/>
                <c:pt idx="0">
                  <c:v>酸雨频率（%）</c:v>
                </c:pt>
              </c:strCache>
            </c:strRef>
          </c:tx>
          <c:spPr>
            <a:solidFill>
              <a:srgbClr val="C00000"/>
            </a:solidFill>
            <a:ln>
              <a:noFill/>
            </a:ln>
            <a:effectLst/>
            <a:scene3d>
              <a:camera prst="orthographicFront"/>
              <a:lightRig rig="threePt" dir="t"/>
            </a:scene3d>
            <a:sp3d>
              <a:bevelT w="190500"/>
            </a:sp3d>
          </c:spPr>
          <c:invertIfNegative val="false"/>
          <c:dPt>
            <c:idx val="0"/>
            <c:invertIfNegative val="false"/>
            <c:bubble3D val="false"/>
            <c:spPr>
              <a:solidFill>
                <a:schemeClr val="accent1"/>
              </a:solidFill>
              <a:ln>
                <a:noFill/>
              </a:ln>
              <a:effectLst/>
              <a:scene3d>
                <a:camera prst="orthographicFront"/>
                <a:lightRig rig="threePt" dir="t"/>
              </a:scene3d>
              <a:sp3d>
                <a:bevelT w="190500"/>
              </a:sp3d>
            </c:spPr>
          </c:dPt>
          <c:dPt>
            <c:idx val="1"/>
            <c:invertIfNegative val="false"/>
            <c:bubble3D val="false"/>
            <c:spPr>
              <a:solidFill>
                <a:schemeClr val="accent2"/>
              </a:solidFill>
              <a:ln>
                <a:noFill/>
              </a:ln>
              <a:effectLst/>
              <a:scene3d>
                <a:camera prst="orthographicFront"/>
                <a:lightRig rig="threePt" dir="t"/>
              </a:scene3d>
              <a:sp3d>
                <a:bevelT w="190500"/>
              </a:sp3d>
            </c:spPr>
          </c:dPt>
          <c:dLbls>
            <c:numFmt formatCode="0.0%" sourceLinked="false"/>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'[数据处理--第四章降水.xlsx]年度对比分析'!$A$124:$A$125</c:f>
              <c:strCache>
                <c:ptCount val="2"/>
                <c:pt idx="0">
                  <c:v>2020年</c:v>
                </c:pt>
                <c:pt idx="1">
                  <c:v>2021年</c:v>
                </c:pt>
              </c:strCache>
            </c:strRef>
          </c:cat>
          <c:val>
            <c:numRef>
              <c:f>'[数据处理--第四章降水.xlsx]年度对比分析'!$B$124:$B$125</c:f>
              <c:numCache>
                <c:formatCode>0.00%</c:formatCode>
                <c:ptCount val="2"/>
                <c:pt idx="0">
                  <c:v>0.437</c:v>
                </c:pt>
                <c:pt idx="1">
                  <c:v>0.374</c:v>
                </c:pt>
              </c:numCache>
            </c:numRef>
          </c:val>
        </c:ser>
        <c:dLbls>
          <c:showLegendKey val="false"/>
          <c:showVal val="true"/>
          <c:showCatName val="false"/>
          <c:showSerName val="false"/>
          <c:showPercent val="false"/>
          <c:showBubbleSize val="false"/>
        </c:dLbls>
        <c:gapWidth val="219"/>
        <c:overlap val="-27"/>
        <c:axId val="546429952"/>
        <c:axId val="546517760"/>
      </c:barChart>
      <c:catAx>
        <c:axId val="546429952"/>
        <c:scaling>
          <c:orientation val="minMax"/>
        </c:scaling>
        <c:delete val="false"/>
        <c:axPos val="b"/>
        <c:numFmt formatCode="General" sourceLinked="false"/>
        <c:majorTickMark val="none"/>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6517760"/>
        <c:crosses val="autoZero"/>
        <c:auto val="true"/>
        <c:lblAlgn val="ctr"/>
        <c:lblOffset val="0"/>
        <c:noMultiLvlLbl val="false"/>
      </c:catAx>
      <c:valAx>
        <c:axId val="546517760"/>
        <c:scaling>
          <c:orientation val="minMax"/>
          <c:max val="0.6"/>
          <c:min val="0"/>
        </c:scaling>
        <c:delete val="false"/>
        <c:axPos val="l"/>
        <c:title>
          <c:tx>
            <c:rich>
              <a:bodyPr rot="-5400000" spcFirstLastPara="0" vertOverflow="ellipsis" vert="horz" wrap="square" anchor="ctr" anchorCtr="true"/>
              <a:lstStyle/>
              <a:p>
                <a:pPr defTabSz="914400">
                  <a:defRPr lang="zh-CN" sz="1000" b="0" i="0" u="none" strike="noStrike" kern="1200" baseline="0">
                    <a:solidFill>
                      <a:schemeClr val="tx1">
                        <a:lumMod val="65000"/>
                        <a:lumOff val="35000"/>
                      </a:schemeClr>
                    </a:solidFill>
                    <a:latin typeface="+mn-lt"/>
                    <a:ea typeface="+mn-ea"/>
                    <a:cs typeface="+mn-cs"/>
                  </a:defRPr>
                </a:pPr>
                <a:r>
                  <a:rPr lang="zh-CN" altLang="en-US"/>
                  <a:t>酸雨频率（</a:t>
                </a:r>
                <a:r>
                  <a:rPr lang="en-US" altLang="zh-CN"/>
                  <a:t>%</a:t>
                </a:r>
                <a:r>
                  <a:rPr lang="zh-CN" altLang="en-US"/>
                  <a:t>）</a:t>
                </a:r>
                <a:endParaRPr lang="zh-CN" altLang="en-US"/>
              </a:p>
            </c:rich>
          </c:tx>
          <c:layout/>
          <c:overlay val="false"/>
          <c:spPr>
            <a:noFill/>
            <a:ln>
              <a:noFill/>
            </a:ln>
            <a:effectLst/>
          </c:spPr>
        </c:title>
        <c:numFmt formatCode="0%" sourceLinked="false"/>
        <c:majorTickMark val="none"/>
        <c:minorTickMark val="none"/>
        <c:tickLblPos val="nextTo"/>
        <c:spPr>
          <a:noFill/>
          <a:ln w="6350" cap="flat" cmpd="sng" algn="ctr">
            <a:no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6429952"/>
        <c:crosses val="autoZero"/>
        <c:crossBetween val="between"/>
        <c:majorUnit val="0.1"/>
      </c:valAx>
      <c:spPr>
        <a:noFill/>
        <a:ln>
          <a:solidFill>
            <a:schemeClr val="tx1"/>
          </a:solidFill>
        </a:ln>
        <a:effectLst/>
      </c:spPr>
    </c:plotArea>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52465223097113"/>
          <c:y val="0.0509259259259259"/>
          <c:w val="0.816979221347332"/>
          <c:h val="0.820248979294255"/>
        </c:manualLayout>
      </c:layout>
      <c:lineChart>
        <c:grouping val="standard"/>
        <c:varyColors val="false"/>
        <c:ser>
          <c:idx val="0"/>
          <c:order val="0"/>
          <c:tx>
            <c:strRef>
              <c:f>'[数据处理--第四章降水.xlsx]年度对比分析'!$B$147</c:f>
              <c:strCache>
                <c:ptCount val="1"/>
                <c:pt idx="0">
                  <c:v>2020</c:v>
                </c:pt>
              </c:strCache>
            </c:strRef>
          </c:tx>
          <c:spPr>
            <a:ln w="19050" cap="rnd" cmpd="sng" algn="ctr">
              <a:solidFill>
                <a:schemeClr val="accent1"/>
              </a:solidFill>
              <a:prstDash val="solid"/>
              <a:round/>
            </a:ln>
            <a:effectLst/>
          </c:spPr>
          <c:marker>
            <c:symbol val="circle"/>
            <c:size val="7"/>
            <c:spPr>
              <a:solidFill>
                <a:schemeClr val="bg1"/>
              </a:solidFill>
              <a:ln w="9525" cap="flat" cmpd="sng" algn="ctr">
                <a:solidFill>
                  <a:schemeClr val="accent1"/>
                </a:solidFill>
                <a:prstDash val="solid"/>
                <a:round/>
              </a:ln>
              <a:effectLst/>
            </c:spPr>
          </c:marker>
          <c:dLbls>
            <c:delete val="true"/>
          </c:dLbls>
          <c:cat>
            <c:strRef>
              <c:f>'[数据处理--第四章降水.xlsx]年度对比分析'!$A$148:$A$159</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'[数据处理--第四章降水.xlsx]年度对比分析'!$B$148:$B$159</c:f>
              <c:numCache>
                <c:formatCode>0%</c:formatCode>
                <c:ptCount val="12"/>
                <c:pt idx="0">
                  <c:v>0.9</c:v>
                </c:pt>
                <c:pt idx="1">
                  <c:v>0.5</c:v>
                </c:pt>
                <c:pt idx="2" c:formatCode="0.00%">
                  <c:v>0.333</c:v>
                </c:pt>
                <c:pt idx="3">
                  <c:v>0</c:v>
                </c:pt>
                <c:pt idx="4">
                  <c:v>0</c:v>
                </c:pt>
                <c:pt idx="5" c:formatCode="0.00%">
                  <c:v>0.235</c:v>
                </c:pt>
                <c:pt idx="6" c:formatCode="0.00%">
                  <c:v>0.667</c:v>
                </c:pt>
                <c:pt idx="7">
                  <c:v>0.5</c:v>
                </c:pt>
                <c:pt idx="8" c:formatCode="0.00%">
                  <c:v>0.625</c:v>
                </c:pt>
                <c:pt idx="9">
                  <c:v>0.5</c:v>
                </c:pt>
                <c:pt idx="10">
                  <c:v>0.25</c:v>
                </c:pt>
                <c:pt idx="11">
                  <c:v>0.5</c:v>
                </c:pt>
              </c:numCache>
            </c:numRef>
          </c:val>
          <c:smooth val="false"/>
        </c:ser>
        <c:ser>
          <c:idx val="1"/>
          <c:order val="1"/>
          <c:tx>
            <c:strRef>
              <c:f>'[数据处理--第四章降水.xlsx]年度对比分析'!$C$147</c:f>
              <c:strCache>
                <c:ptCount val="1"/>
                <c:pt idx="0">
                  <c:v>2021</c:v>
                </c:pt>
              </c:strCache>
            </c:strRef>
          </c:tx>
          <c:spPr>
            <a:ln w="19050" cap="rnd" cmpd="sng" algn="ctr">
              <a:solidFill>
                <a:srgbClr val="C00000"/>
              </a:solidFill>
              <a:prstDash val="solid"/>
              <a:round/>
            </a:ln>
            <a:effectLst/>
          </c:spPr>
          <c:marker>
            <c:symbol val="circle"/>
            <c:size val="7"/>
            <c:spPr>
              <a:solidFill>
                <a:schemeClr val="bg1"/>
              </a:solidFill>
              <a:ln w="9525" cap="flat" cmpd="sng" algn="ctr">
                <a:solidFill>
                  <a:schemeClr val="accent2"/>
                </a:solidFill>
                <a:prstDash val="solid"/>
                <a:round/>
              </a:ln>
              <a:effectLst/>
            </c:spPr>
          </c:marker>
          <c:dLbls>
            <c:delete val="true"/>
          </c:dLbls>
          <c:cat>
            <c:strRef>
              <c:f>'[数据处理--第四章降水.xlsx]年度对比分析'!$A$148:$A$159</c:f>
              <c:strCache>
                <c:ptCount val="12"/>
                <c:pt idx="0">
                  <c:v>1月</c:v>
                </c:pt>
                <c:pt idx="1">
                  <c:v>2月</c:v>
                </c:pt>
                <c:pt idx="2">
                  <c:v>3月</c:v>
                </c:pt>
                <c:pt idx="3">
                  <c:v>4月</c:v>
                </c:pt>
                <c:pt idx="4">
                  <c:v>5月</c:v>
                </c:pt>
                <c:pt idx="5">
                  <c:v>6月</c:v>
                </c:pt>
                <c:pt idx="6">
                  <c:v>7月</c:v>
                </c:pt>
                <c:pt idx="7">
                  <c:v>8月</c:v>
                </c:pt>
                <c:pt idx="8">
                  <c:v>9月</c:v>
                </c:pt>
                <c:pt idx="9">
                  <c:v>10月</c:v>
                </c:pt>
                <c:pt idx="10">
                  <c:v>11月</c:v>
                </c:pt>
                <c:pt idx="11">
                  <c:v>12月</c:v>
                </c:pt>
              </c:strCache>
            </c:strRef>
          </c:cat>
          <c:val>
            <c:numRef>
              <c:f>'[数据处理--第四章降水.xlsx]年度对比分析'!$C$148:$C$159</c:f>
              <c:numCache>
                <c:formatCode>0%</c:formatCode>
                <c:ptCount val="12"/>
                <c:pt idx="0">
                  <c:v>0</c:v>
                </c:pt>
                <c:pt idx="1">
                  <c:v>0</c:v>
                </c:pt>
                <c:pt idx="2" c:formatCode="0.00%">
                  <c:v>0.333</c:v>
                </c:pt>
                <c:pt idx="3" c:formatCode="0.00%">
                  <c:v>0.333</c:v>
                </c:pt>
                <c:pt idx="4" c:formatCode="0.00%">
                  <c:v>0.417</c:v>
                </c:pt>
                <c:pt idx="5" c:formatCode="0.00%">
                  <c:v>0.364</c:v>
                </c:pt>
                <c:pt idx="6" c:formatCode="0.00%">
                  <c:v>0.615</c:v>
                </c:pt>
                <c:pt idx="7" c:formatCode="0.00%">
                  <c:v>0.875</c:v>
                </c:pt>
                <c:pt idx="8" c:formatCode="0.00%">
                  <c:v>0.125</c:v>
                </c:pt>
                <c:pt idx="9" c:formatCode="0.00%">
                  <c:v>0.429</c:v>
                </c:pt>
                <c:pt idx="10">
                  <c:v>0.2</c:v>
                </c:pt>
                <c:pt idx="11">
                  <c:v>0</c:v>
                </c:pt>
              </c:numCache>
            </c:numRef>
          </c:val>
          <c:smooth val="false"/>
        </c:ser>
        <c:dLbls>
          <c:showLegendKey val="false"/>
          <c:showVal val="false"/>
          <c:showCatName val="false"/>
          <c:showSerName val="false"/>
          <c:showPercent val="false"/>
          <c:showBubbleSize val="false"/>
        </c:dLbls>
        <c:marker val="true"/>
        <c:smooth val="false"/>
        <c:axId val="546936320"/>
        <c:axId val="546937856"/>
      </c:lineChart>
      <c:catAx>
        <c:axId val="546936320"/>
        <c:scaling>
          <c:orientation val="minMax"/>
        </c:scaling>
        <c:delete val="false"/>
        <c:axPos val="b"/>
        <c:numFmt formatCode="General" sourceLinked="false"/>
        <c:majorTickMark val="none"/>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6937856"/>
        <c:crosses val="autoZero"/>
        <c:auto val="true"/>
        <c:lblAlgn val="ctr"/>
        <c:lblOffset val="0"/>
        <c:noMultiLvlLbl val="false"/>
      </c:catAx>
      <c:valAx>
        <c:axId val="546937856"/>
        <c:scaling>
          <c:orientation val="minMax"/>
        </c:scaling>
        <c:delete val="false"/>
        <c:axPos val="l"/>
        <c:title>
          <c:tx>
            <c:rich>
              <a:bodyPr rot="-5400000" spcFirstLastPara="0" vertOverflow="ellipsis" vert="horz" wrap="square" anchor="ctr" anchorCtr="true"/>
              <a:lstStyle/>
              <a:p>
                <a:pPr defTabSz="914400">
                  <a:defRPr lang="zh-CN" sz="1000" b="0" i="0" u="none" strike="noStrike" kern="1200" baseline="0">
                    <a:solidFill>
                      <a:schemeClr val="tx1">
                        <a:lumMod val="65000"/>
                        <a:lumOff val="35000"/>
                      </a:schemeClr>
                    </a:solidFill>
                    <a:latin typeface="+mn-lt"/>
                    <a:ea typeface="+mn-ea"/>
                    <a:cs typeface="+mn-cs"/>
                  </a:defRPr>
                </a:pPr>
                <a:r>
                  <a:rPr lang="zh-CN" altLang="en-US"/>
                  <a:t>酸雨频率（</a:t>
                </a:r>
                <a:r>
                  <a:rPr lang="en-US" altLang="zh-CN"/>
                  <a:t>%</a:t>
                </a:r>
                <a:r>
                  <a:rPr lang="zh-CN" altLang="en-US"/>
                  <a:t>）</a:t>
                </a:r>
                <a:endParaRPr lang="zh-CN" altLang="en-US"/>
              </a:p>
            </c:rich>
          </c:tx>
          <c:layout/>
          <c:overlay val="false"/>
          <c:spPr>
            <a:noFill/>
            <a:ln>
              <a:noFill/>
            </a:ln>
            <a:effectLst/>
          </c:spPr>
        </c:title>
        <c:numFmt formatCode="0%" sourceLinked="true"/>
        <c:majorTickMark val="none"/>
        <c:minorTickMark val="none"/>
        <c:tickLblPos val="nextTo"/>
        <c:spPr>
          <a:noFill/>
          <a:ln w="6350" cap="flat" cmpd="sng" algn="ctr">
            <a:no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6936320"/>
        <c:crosses val="autoZero"/>
        <c:crossBetween val="between"/>
      </c:valAx>
      <c:spPr>
        <a:noFill/>
        <a:ln>
          <a:solidFill>
            <a:schemeClr val="tx1"/>
          </a:solidFill>
        </a:ln>
        <a:effectLst/>
      </c:spPr>
    </c:plotArea>
    <c:legend>
      <c:legendPos val="b"/>
      <c:layout>
        <c:manualLayout>
          <c:xMode val="edge"/>
          <c:yMode val="edge"/>
          <c:x val="0.276690168087151"/>
          <c:y val="0.0941789462398895"/>
          <c:w val="0.286399825021872"/>
          <c:h val="0.0707462088072324"/>
        </c:manualLayou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45451443569554"/>
          <c:y val="0.0661165791776028"/>
          <c:w val="0.823993000874891"/>
          <c:h val="0.824878608923885"/>
        </c:manualLayout>
      </c:layout>
      <c:barChart>
        <c:barDir val="col"/>
        <c:grouping val="clustered"/>
        <c:varyColors val="false"/>
        <c:ser>
          <c:idx val="0"/>
          <c:order val="0"/>
          <c:tx>
            <c:strRef>
              <c:f>'[新建 XLSX 工作表.xlsx]Sheet4'!$A$3</c:f>
              <c:strCache>
                <c:ptCount val="1"/>
                <c:pt idx="0">
                  <c:v>2020年</c:v>
                </c:pt>
              </c:strCache>
            </c:strRef>
          </c:tx>
          <c:spPr>
            <a:solidFill>
              <a:schemeClr val="accent1"/>
            </a:solidFill>
            <a:ln>
              <a:noFill/>
            </a:ln>
            <a:effectLst/>
            <a:scene3d>
              <a:camera prst="orthographicFront"/>
              <a:lightRig rig="threePt" dir="t">
                <a:rot lat="0" lon="0" rev="0"/>
              </a:lightRig>
            </a:scene3d>
            <a:sp3d>
              <a:bevelT w="190500"/>
            </a:sp3d>
          </c:spPr>
          <c:invertIfNegative val="false"/>
          <c:dLbls>
            <c:delete val="true"/>
          </c:dLbls>
          <c:cat>
            <c:strRef>
              <c:f>'[新建 XLSX 工作表.xlsx]Sheet4'!$B$2:$F$2</c:f>
              <c:strCache>
                <c:ptCount val="5"/>
                <c:pt idx="0">
                  <c:v>进水口</c:v>
                </c:pt>
                <c:pt idx="1">
                  <c:v>出水口</c:v>
                </c:pt>
                <c:pt idx="2">
                  <c:v>湖体本部</c:v>
                </c:pt>
                <c:pt idx="3">
                  <c:v>湖边功能区</c:v>
                </c:pt>
                <c:pt idx="4">
                  <c:v>全湖平均</c:v>
                </c:pt>
              </c:strCache>
            </c:strRef>
          </c:cat>
          <c:val>
            <c:numRef>
              <c:f>'[新建 XLSX 工作表.xlsx]Sheet4'!$B$3:$F$3</c:f>
              <c:numCache>
                <c:formatCode>General</c:formatCode>
                <c:ptCount val="5"/>
                <c:pt idx="0">
                  <c:v>59.6</c:v>
                </c:pt>
                <c:pt idx="1">
                  <c:v>57.4</c:v>
                </c:pt>
                <c:pt idx="2">
                  <c:v>59.4</c:v>
                </c:pt>
                <c:pt idx="3">
                  <c:v>57.3</c:v>
                </c:pt>
                <c:pt idx="4">
                  <c:v>58.9</c:v>
                </c:pt>
              </c:numCache>
            </c:numRef>
          </c:val>
        </c:ser>
        <c:ser>
          <c:idx val="1"/>
          <c:order val="1"/>
          <c:tx>
            <c:strRef>
              <c:f>'[新建 XLSX 工作表.xlsx]Sheet4'!$A$4</c:f>
              <c:strCache>
                <c:ptCount val="1"/>
                <c:pt idx="0">
                  <c:v>2021年</c:v>
                </c:pt>
              </c:strCache>
            </c:strRef>
          </c:tx>
          <c:spPr>
            <a:solidFill>
              <a:schemeClr val="accent2"/>
            </a:solidFill>
            <a:ln>
              <a:noFill/>
            </a:ln>
            <a:effectLst/>
            <a:scene3d>
              <a:camera prst="orthographicFront"/>
              <a:lightRig rig="threePt" dir="t">
                <a:rot lat="0" lon="0" rev="0"/>
              </a:lightRig>
            </a:scene3d>
            <a:sp3d>
              <a:bevelT w="190500"/>
            </a:sp3d>
          </c:spPr>
          <c:invertIfNegative val="false"/>
          <c:dLbls>
            <c:delete val="true"/>
          </c:dLbls>
          <c:cat>
            <c:strRef>
              <c:f>'[新建 XLSX 工作表.xlsx]Sheet4'!$B$2:$F$2</c:f>
              <c:strCache>
                <c:ptCount val="5"/>
                <c:pt idx="0">
                  <c:v>进水口</c:v>
                </c:pt>
                <c:pt idx="1">
                  <c:v>出水口</c:v>
                </c:pt>
                <c:pt idx="2">
                  <c:v>湖体本部</c:v>
                </c:pt>
                <c:pt idx="3">
                  <c:v>湖边功能区</c:v>
                </c:pt>
                <c:pt idx="4">
                  <c:v>全湖平均</c:v>
                </c:pt>
              </c:strCache>
            </c:strRef>
          </c:cat>
          <c:val>
            <c:numRef>
              <c:f>'[新建 XLSX 工作表.xlsx]Sheet4'!$B$4:$F$4</c:f>
              <c:numCache>
                <c:formatCode>General</c:formatCode>
                <c:ptCount val="5"/>
                <c:pt idx="0">
                  <c:v>59.8</c:v>
                </c:pt>
                <c:pt idx="1">
                  <c:v>58.2</c:v>
                </c:pt>
                <c:pt idx="2">
                  <c:v>59.6</c:v>
                </c:pt>
                <c:pt idx="3">
                  <c:v>60.1</c:v>
                </c:pt>
                <c:pt idx="4">
                  <c:v>59.6</c:v>
                </c:pt>
              </c:numCache>
            </c:numRef>
          </c:val>
        </c:ser>
        <c:dLbls>
          <c:showLegendKey val="false"/>
          <c:showVal val="false"/>
          <c:showCatName val="false"/>
          <c:showSerName val="false"/>
          <c:showPercent val="false"/>
          <c:showBubbleSize val="false"/>
        </c:dLbls>
        <c:gapWidth val="219"/>
        <c:overlap val="-27"/>
        <c:axId val="542025216"/>
        <c:axId val="542438528"/>
      </c:barChart>
      <c:catAx>
        <c:axId val="542025216"/>
        <c:scaling>
          <c:orientation val="minMax"/>
        </c:scaling>
        <c:delete val="false"/>
        <c:axPos val="b"/>
        <c:numFmt formatCode="General" sourceLinked="false"/>
        <c:majorTickMark val="none"/>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2438528"/>
        <c:crosses val="autoZero"/>
        <c:auto val="true"/>
        <c:lblAlgn val="ctr"/>
        <c:lblOffset val="100"/>
        <c:noMultiLvlLbl val="false"/>
      </c:catAx>
      <c:valAx>
        <c:axId val="542438528"/>
        <c:scaling>
          <c:orientation val="minMax"/>
        </c:scaling>
        <c:delete val="false"/>
        <c:axPos val="l"/>
        <c:title>
          <c:tx>
            <c:rich>
              <a:bodyPr rot="-5400000" spcFirstLastPara="0" vertOverflow="ellipsis" vert="horz" wrap="square" anchor="ctr" anchorCtr="true"/>
              <a:lstStyle/>
              <a:p>
                <a:pPr defTabSz="914400">
                  <a:defRPr lang="zh-CN" sz="1000" b="0" i="0" u="none" strike="noStrike" kern="1200" baseline="0">
                    <a:solidFill>
                      <a:schemeClr val="tx1">
                        <a:lumMod val="65000"/>
                        <a:lumOff val="35000"/>
                      </a:schemeClr>
                    </a:solidFill>
                    <a:latin typeface="+mn-lt"/>
                    <a:ea typeface="+mn-ea"/>
                    <a:cs typeface="+mn-cs"/>
                  </a:defRPr>
                </a:pPr>
                <a:r>
                  <a:rPr lang="zh-CN" altLang="en-US"/>
                  <a:t>综合营养状态指数（</a:t>
                </a:r>
                <a:r>
                  <a:rPr lang="en-US"/>
                  <a:t>TLI）</a:t>
                </a:r>
                <a:endParaRPr lang="en-US"/>
              </a:p>
            </c:rich>
          </c:tx>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2025216"/>
        <c:crosses val="autoZero"/>
        <c:crossBetween val="between"/>
      </c:valAx>
      <c:spPr>
        <a:noFill/>
        <a:ln>
          <a:solidFill>
            <a:schemeClr val="tx1"/>
          </a:solidFill>
        </a:ln>
        <a:effectLst/>
      </c:spPr>
    </c:plotArea>
    <c:legend>
      <c:legendPos val="t"/>
      <c:layout>
        <c:manualLayout>
          <c:xMode val="edge"/>
          <c:yMode val="edge"/>
          <c:x val="0.160127952755906"/>
          <c:y val="0.0844907407407407"/>
          <c:w val="0.242649825021872"/>
          <c:h val="0.0707462088072324"/>
        </c:manualLayou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18395888013998"/>
          <c:y val="0.0532555804730564"/>
          <c:w val="0.837159667541557"/>
          <c:h val="0.819708503706211"/>
        </c:manualLayout>
      </c:layout>
      <c:lineChart>
        <c:grouping val="standard"/>
        <c:varyColors val="false"/>
        <c:ser>
          <c:idx val="0"/>
          <c:order val="0"/>
          <c:tx>
            <c:strRef>
              <c:f>'[新建 XLSX 工作表.xlsx]Sheet4'!$A$29</c:f>
              <c:strCache>
                <c:ptCount val="1"/>
                <c:pt idx="0">
                  <c:v>金泽水源湖</c:v>
                </c:pt>
              </c:strCache>
            </c:strRef>
          </c:tx>
          <c:spPr>
            <a:ln w="12700" cap="rnd" cmpd="sng" algn="ctr">
              <a:solidFill>
                <a:srgbClr val="92D050"/>
              </a:solidFill>
              <a:prstDash val="solid"/>
              <a:round/>
            </a:ln>
            <a:effectLst/>
          </c:spPr>
          <c:marker>
            <c:symbol val="circle"/>
            <c:size val="6"/>
            <c:spPr>
              <a:solidFill>
                <a:schemeClr val="bg1"/>
              </a:solidFill>
              <a:ln w="9525" cap="flat" cmpd="sng" algn="ctr">
                <a:solidFill>
                  <a:srgbClr val="92D050"/>
                </a:solidFill>
                <a:prstDash val="solid"/>
                <a:round/>
              </a:ln>
              <a:effectLst/>
            </c:spPr>
          </c:marker>
          <c:dLbls>
            <c:delete val="true"/>
          </c:dLbls>
          <c:cat>
            <c:strRef>
              <c:f>'[新建 XLSX 工作表.xlsx]Sheet4'!$B$28:$F$28</c:f>
              <c:strCache>
                <c:ptCount val="5"/>
                <c:pt idx="0">
                  <c:v>2017年</c:v>
                </c:pt>
                <c:pt idx="1">
                  <c:v>2018年</c:v>
                </c:pt>
                <c:pt idx="2">
                  <c:v>2019年</c:v>
                </c:pt>
                <c:pt idx="3">
                  <c:v>2020年</c:v>
                </c:pt>
                <c:pt idx="4">
                  <c:v>2021年</c:v>
                </c:pt>
              </c:strCache>
            </c:strRef>
          </c:cat>
          <c:val>
            <c:numRef>
              <c:f>'[新建 XLSX 工作表.xlsx]Sheet4'!$B$29:$F$29</c:f>
              <c:numCache>
                <c:formatCode>General</c:formatCode>
                <c:ptCount val="5"/>
                <c:pt idx="0">
                  <c:v>0.41</c:v>
                </c:pt>
                <c:pt idx="1">
                  <c:v>0.43</c:v>
                </c:pt>
                <c:pt idx="2">
                  <c:v>0.38</c:v>
                </c:pt>
                <c:pt idx="3">
                  <c:v>0.36</c:v>
                </c:pt>
                <c:pt idx="4">
                  <c:v>0.36</c:v>
                </c:pt>
              </c:numCache>
            </c:numRef>
          </c:val>
          <c:smooth val="false"/>
        </c:ser>
        <c:ser>
          <c:idx val="1"/>
          <c:order val="1"/>
          <c:tx>
            <c:strRef>
              <c:f>'[新建 XLSX 工作表.xlsx]Sheet4'!$A$30</c:f>
              <c:strCache>
                <c:ptCount val="1"/>
                <c:pt idx="0">
                  <c:v>太浦河取水口</c:v>
                </c:pt>
              </c:strCache>
            </c:strRef>
          </c:tx>
          <c:spPr>
            <a:ln w="12700" cap="rnd" cmpd="sng" algn="ctr">
              <a:solidFill>
                <a:srgbClr val="C00000"/>
              </a:solidFill>
              <a:prstDash val="solid"/>
              <a:round/>
            </a:ln>
            <a:effectLst/>
          </c:spPr>
          <c:marker>
            <c:symbol val="circle"/>
            <c:size val="6"/>
            <c:spPr>
              <a:solidFill>
                <a:schemeClr val="bg1"/>
              </a:solidFill>
              <a:ln w="9525" cap="flat" cmpd="sng" algn="ctr">
                <a:solidFill>
                  <a:srgbClr val="C00000"/>
                </a:solidFill>
                <a:prstDash val="solid"/>
                <a:round/>
              </a:ln>
              <a:effectLst/>
            </c:spPr>
          </c:marker>
          <c:dLbls>
            <c:delete val="true"/>
          </c:dLbls>
          <c:cat>
            <c:strRef>
              <c:f>'[新建 XLSX 工作表.xlsx]Sheet4'!$B$28:$F$28</c:f>
              <c:strCache>
                <c:ptCount val="5"/>
                <c:pt idx="0">
                  <c:v>2017年</c:v>
                </c:pt>
                <c:pt idx="1">
                  <c:v>2018年</c:v>
                </c:pt>
                <c:pt idx="2">
                  <c:v>2019年</c:v>
                </c:pt>
                <c:pt idx="3">
                  <c:v>2020年</c:v>
                </c:pt>
                <c:pt idx="4">
                  <c:v>2021年</c:v>
                </c:pt>
              </c:strCache>
            </c:strRef>
          </c:cat>
          <c:val>
            <c:numRef>
              <c:f>'[新建 XLSX 工作表.xlsx]Sheet4'!$B$30:$F$30</c:f>
              <c:numCache>
                <c:formatCode>General</c:formatCode>
                <c:ptCount val="5"/>
                <c:pt idx="0">
                  <c:v>0.53</c:v>
                </c:pt>
                <c:pt idx="1">
                  <c:v>0.52</c:v>
                </c:pt>
                <c:pt idx="2">
                  <c:v>0.6</c:v>
                </c:pt>
                <c:pt idx="3">
                  <c:v>0.51</c:v>
                </c:pt>
                <c:pt idx="4">
                  <c:v>0.5</c:v>
                </c:pt>
              </c:numCache>
            </c:numRef>
          </c:val>
          <c:smooth val="false"/>
        </c:ser>
        <c:ser>
          <c:idx val="2"/>
          <c:order val="2"/>
          <c:tx>
            <c:strRef>
              <c:f>'[新建 XLSX 工作表.xlsx]Sheet4'!$A$31</c:f>
              <c:strCache>
                <c:ptCount val="1"/>
                <c:pt idx="0">
                  <c:v>良好</c:v>
                </c:pt>
              </c:strCache>
            </c:strRef>
          </c:tx>
          <c:spPr>
            <a:ln w="12700" cap="rnd" cmpd="sng" algn="ctr">
              <a:solidFill>
                <a:schemeClr val="accent1"/>
              </a:solidFill>
              <a:prstDash val="dash"/>
              <a:round/>
            </a:ln>
            <a:effectLst/>
          </c:spPr>
          <c:marker>
            <c:symbol val="none"/>
          </c:marker>
          <c:dLbls>
            <c:delete val="true"/>
          </c:dLbls>
          <c:cat>
            <c:strRef>
              <c:f>'[新建 XLSX 工作表.xlsx]Sheet4'!$B$28:$F$28</c:f>
              <c:strCache>
                <c:ptCount val="5"/>
                <c:pt idx="0">
                  <c:v>2017年</c:v>
                </c:pt>
                <c:pt idx="1">
                  <c:v>2018年</c:v>
                </c:pt>
                <c:pt idx="2">
                  <c:v>2019年</c:v>
                </c:pt>
                <c:pt idx="3">
                  <c:v>2020年</c:v>
                </c:pt>
                <c:pt idx="4">
                  <c:v>2021年</c:v>
                </c:pt>
              </c:strCache>
            </c:strRef>
          </c:cat>
          <c:val>
            <c:numRef>
              <c:f>'[新建 XLSX 工作表.xlsx]Sheet4'!$B$31:$F$31</c:f>
              <c:numCache>
                <c:formatCode>General</c:formatCode>
                <c:ptCount val="5"/>
                <c:pt idx="0">
                  <c:v>0.62</c:v>
                </c:pt>
                <c:pt idx="1">
                  <c:v>0.62</c:v>
                </c:pt>
                <c:pt idx="2">
                  <c:v>0.62</c:v>
                </c:pt>
                <c:pt idx="3">
                  <c:v>0.62</c:v>
                </c:pt>
                <c:pt idx="4">
                  <c:v>0.62</c:v>
                </c:pt>
              </c:numCache>
            </c:numRef>
          </c:val>
          <c:smooth val="false"/>
        </c:ser>
        <c:dLbls>
          <c:showLegendKey val="false"/>
          <c:showVal val="false"/>
          <c:showCatName val="false"/>
          <c:showSerName val="false"/>
          <c:showPercent val="false"/>
          <c:showBubbleSize val="false"/>
        </c:dLbls>
        <c:marker val="true"/>
        <c:smooth val="false"/>
        <c:axId val="542800896"/>
        <c:axId val="542806784"/>
      </c:lineChart>
      <c:catAx>
        <c:axId val="542800896"/>
        <c:scaling>
          <c:orientation val="minMax"/>
        </c:scaling>
        <c:delete val="false"/>
        <c:axPos val="b"/>
        <c:numFmt formatCode="General" sourceLinked="false"/>
        <c:majorTickMark val="none"/>
        <c:minorTickMark val="none"/>
        <c:tickLblPos val="nextTo"/>
        <c:spPr>
          <a:noFill/>
          <a:ln w="9525" cap="flat" cmpd="sng" algn="ctr">
            <a:solidFill>
              <a:schemeClr val="tx1"/>
            </a:solid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2806784"/>
        <c:crosses val="autoZero"/>
        <c:auto val="true"/>
        <c:lblAlgn val="ctr"/>
        <c:lblOffset val="100"/>
        <c:noMultiLvlLbl val="false"/>
      </c:catAx>
      <c:valAx>
        <c:axId val="542806784"/>
        <c:scaling>
          <c:orientation val="minMax"/>
          <c:max val="0.7"/>
          <c:min val="0.2"/>
        </c:scaling>
        <c:delete val="false"/>
        <c:axPos val="l"/>
        <c:title>
          <c:tx>
            <c:rich>
              <a:bodyPr rot="-5400000" spcFirstLastPara="0" vertOverflow="ellipsis" vert="horz" wrap="square" anchor="ctr" anchorCtr="true"/>
              <a:lstStyle/>
              <a:p>
                <a:pPr defTabSz="914400">
                  <a:defRPr lang="zh-CN" sz="1000" b="0" i="0" u="none" strike="noStrike" kern="1200" baseline="0">
                    <a:solidFill>
                      <a:schemeClr val="tx1">
                        <a:lumMod val="65000"/>
                        <a:lumOff val="35000"/>
                      </a:schemeClr>
                    </a:solidFill>
                    <a:latin typeface="+mn-lt"/>
                    <a:ea typeface="+mn-ea"/>
                    <a:cs typeface="+mn-cs"/>
                  </a:defRPr>
                </a:pPr>
                <a:r>
                  <a:rPr lang="zh-CN" altLang="en-US"/>
                  <a:t>水质综合污染指数</a:t>
                </a:r>
                <a:endParaRPr lang="zh-CN" altLang="en-US"/>
              </a:p>
            </c:rich>
          </c:tx>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2800896"/>
        <c:crosses val="autoZero"/>
        <c:crossBetween val="between"/>
        <c:majorUnit val="0.1"/>
      </c:valAx>
      <c:spPr>
        <a:noFill/>
        <a:ln>
          <a:solidFill>
            <a:schemeClr val="tx1"/>
          </a:solidFill>
        </a:ln>
        <a:effectLst/>
      </c:spPr>
    </c:plotArea>
    <c:legend>
      <c:legendPos val="b"/>
      <c:legendEntry>
        <c:idx val="2"/>
        <c:delete val="true"/>
      </c:legendEntry>
      <c:layout>
        <c:manualLayout>
          <c:xMode val="edge"/>
          <c:yMode val="edge"/>
          <c:x val="0.139636496443934"/>
          <c:y val="0.698928909759501"/>
          <c:w val="0.541852250038397"/>
          <c:h val="0.0988433447759523"/>
        </c:manualLayout>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0958068803018705"/>
          <c:y val="0.0500696815552923"/>
          <c:w val="0.877690288713911"/>
          <c:h val="0.454797575081876"/>
        </c:manualLayout>
      </c:layout>
      <c:barChart>
        <c:barDir val="col"/>
        <c:grouping val="clustered"/>
        <c:varyColors val="false"/>
        <c:ser>
          <c:idx val="0"/>
          <c:order val="0"/>
          <c:tx>
            <c:strRef>
              <c:f>Sheet4!$A$72</c:f>
              <c:strCache>
                <c:ptCount val="1"/>
                <c:pt idx="0">
                  <c:v>2020年</c:v>
                </c:pt>
              </c:strCache>
            </c:strRef>
          </c:tx>
          <c:spPr>
            <a:effectLst>
              <a:outerShdw blurRad="50800" dist="50800" dir="5400000" algn="ctr" rotWithShape="0">
                <a:srgbClr val="000000">
                  <a:alpha val="99000"/>
                </a:srgbClr>
              </a:outerShdw>
            </a:effectLst>
          </c:spPr>
          <c:invertIfNegative val="false"/>
          <c:dLbls>
            <c:delete val="true"/>
          </c:dLbls>
          <c:cat>
            <c:strRef>
              <c:f>Sheet4!$B$71:$U$71</c:f>
              <c:strCache>
                <c:ptCount val="20"/>
                <c:pt idx="0">
                  <c:v>黄浦江-淀峰</c:v>
                </c:pt>
                <c:pt idx="1">
                  <c:v>太浦河-太浦河桥</c:v>
                </c:pt>
                <c:pt idx="2">
                  <c:v>西大盈港-沈砖公路桥</c:v>
                </c:pt>
                <c:pt idx="3">
                  <c:v>朱枫河-章练塘路练祥桥</c:v>
                </c:pt>
                <c:pt idx="4">
                  <c:v>北横港-练西大桥</c:v>
                </c:pt>
                <c:pt idx="5">
                  <c:v>北胜浜-金泽水厂</c:v>
                </c:pt>
                <c:pt idx="6">
                  <c:v>淀浦河-南港大桥</c:v>
                </c:pt>
                <c:pt idx="7">
                  <c:v>淀浦河-318国道桥</c:v>
                </c:pt>
                <c:pt idx="8">
                  <c:v>油墩港-北青路桥</c:v>
                </c:pt>
                <c:pt idx="9">
                  <c:v>老通波塘-北青公路桥</c:v>
                </c:pt>
                <c:pt idx="10">
                  <c:v>新塘河-新盐仓浦桥</c:v>
                </c:pt>
                <c:pt idx="11">
                  <c:v>东大盈港-人民桥</c:v>
                </c:pt>
                <c:pt idx="12">
                  <c:v>油墩港-纪鹤公路桥</c:v>
                </c:pt>
                <c:pt idx="13">
                  <c:v>西大盈港-芦湾桥</c:v>
                </c:pt>
                <c:pt idx="14">
                  <c:v>东大盈港-东大盈港桥</c:v>
                </c:pt>
                <c:pt idx="15">
                  <c:v>新通波塘-凤溪桥</c:v>
                </c:pt>
                <c:pt idx="16">
                  <c:v>新通波塘-方家窑桥</c:v>
                </c:pt>
                <c:pt idx="17">
                  <c:v>上达河-汇金路桥</c:v>
                </c:pt>
                <c:pt idx="18">
                  <c:v>徐泾港-京华路桥</c:v>
                </c:pt>
                <c:pt idx="19">
                  <c:v>淀山湖-淀山湖中</c:v>
                </c:pt>
              </c:strCache>
            </c:strRef>
          </c:cat>
          <c:val>
            <c:numRef>
              <c:f>Sheet4!$B$72:$U$72</c:f>
              <c:numCache>
                <c:formatCode>General</c:formatCode>
                <c:ptCount val="20"/>
                <c:pt idx="0">
                  <c:v>2</c:v>
                </c:pt>
                <c:pt idx="1">
                  <c:v>3</c:v>
                </c:pt>
                <c:pt idx="2">
                  <c:v>3</c:v>
                </c:pt>
                <c:pt idx="3">
                  <c:v>3</c:v>
                </c:pt>
                <c:pt idx="4">
                  <c:v>3</c:v>
                </c:pt>
                <c:pt idx="5">
                  <c:v>3</c:v>
                </c:pt>
                <c:pt idx="6">
                  <c:v>3</c:v>
                </c:pt>
                <c:pt idx="7">
                  <c:v>3</c:v>
                </c:pt>
                <c:pt idx="8">
                  <c:v>3</c:v>
                </c:pt>
                <c:pt idx="9">
                  <c:v>4</c:v>
                </c:pt>
                <c:pt idx="10">
                  <c:v>4</c:v>
                </c:pt>
                <c:pt idx="11">
                  <c:v>3</c:v>
                </c:pt>
                <c:pt idx="12">
                  <c:v>3</c:v>
                </c:pt>
                <c:pt idx="13">
                  <c:v>3</c:v>
                </c:pt>
                <c:pt idx="14">
                  <c:v>4</c:v>
                </c:pt>
                <c:pt idx="15">
                  <c:v>4</c:v>
                </c:pt>
                <c:pt idx="16">
                  <c:v>4</c:v>
                </c:pt>
                <c:pt idx="17">
                  <c:v>3</c:v>
                </c:pt>
                <c:pt idx="18">
                  <c:v>4</c:v>
                </c:pt>
                <c:pt idx="19">
                  <c:v>5</c:v>
                </c:pt>
              </c:numCache>
            </c:numRef>
          </c:val>
        </c:ser>
        <c:ser>
          <c:idx val="1"/>
          <c:order val="1"/>
          <c:tx>
            <c:strRef>
              <c:f>Sheet4!$A$73</c:f>
              <c:strCache>
                <c:ptCount val="1"/>
                <c:pt idx="0">
                  <c:v>2021年</c:v>
                </c:pt>
              </c:strCache>
            </c:strRef>
          </c:tx>
          <c:spPr>
            <a:effectLst>
              <a:outerShdw blurRad="50800" dist="50800" dir="5400000" algn="ctr" rotWithShape="0">
                <a:srgbClr val="000000">
                  <a:alpha val="99000"/>
                </a:srgbClr>
              </a:outerShdw>
            </a:effectLst>
          </c:spPr>
          <c:invertIfNegative val="false"/>
          <c:dLbls>
            <c:delete val="true"/>
          </c:dLbls>
          <c:cat>
            <c:strRef>
              <c:f>Sheet4!$B$71:$U$71</c:f>
              <c:strCache>
                <c:ptCount val="20"/>
                <c:pt idx="0">
                  <c:v>黄浦江-淀峰</c:v>
                </c:pt>
                <c:pt idx="1">
                  <c:v>太浦河-太浦河桥</c:v>
                </c:pt>
                <c:pt idx="2">
                  <c:v>西大盈港-沈砖公路桥</c:v>
                </c:pt>
                <c:pt idx="3">
                  <c:v>朱枫河-章练塘路练祥桥</c:v>
                </c:pt>
                <c:pt idx="4">
                  <c:v>北横港-练西大桥</c:v>
                </c:pt>
                <c:pt idx="5">
                  <c:v>北胜浜-金泽水厂</c:v>
                </c:pt>
                <c:pt idx="6">
                  <c:v>淀浦河-南港大桥</c:v>
                </c:pt>
                <c:pt idx="7">
                  <c:v>淀浦河-318国道桥</c:v>
                </c:pt>
                <c:pt idx="8">
                  <c:v>油墩港-北青路桥</c:v>
                </c:pt>
                <c:pt idx="9">
                  <c:v>老通波塘-北青公路桥</c:v>
                </c:pt>
                <c:pt idx="10">
                  <c:v>新塘河-新盐仓浦桥</c:v>
                </c:pt>
                <c:pt idx="11">
                  <c:v>东大盈港-人民桥</c:v>
                </c:pt>
                <c:pt idx="12">
                  <c:v>油墩港-纪鹤公路桥</c:v>
                </c:pt>
                <c:pt idx="13">
                  <c:v>西大盈港-芦湾桥</c:v>
                </c:pt>
                <c:pt idx="14">
                  <c:v>东大盈港-东大盈港桥</c:v>
                </c:pt>
                <c:pt idx="15">
                  <c:v>新通波塘-凤溪桥</c:v>
                </c:pt>
                <c:pt idx="16">
                  <c:v>新通波塘-方家窑桥</c:v>
                </c:pt>
                <c:pt idx="17">
                  <c:v>上达河-汇金路桥</c:v>
                </c:pt>
                <c:pt idx="18">
                  <c:v>徐泾港-京华路桥</c:v>
                </c:pt>
                <c:pt idx="19">
                  <c:v>淀山湖-淀山湖中</c:v>
                </c:pt>
              </c:strCache>
            </c:strRef>
          </c:cat>
          <c:val>
            <c:numRef>
              <c:f>Sheet4!$B$73:$U$73</c:f>
              <c:numCache>
                <c:formatCode>General</c:formatCode>
                <c:ptCount val="20"/>
                <c:pt idx="0">
                  <c:v>3</c:v>
                </c:pt>
                <c:pt idx="1">
                  <c:v>2</c:v>
                </c:pt>
                <c:pt idx="2">
                  <c:v>3</c:v>
                </c:pt>
                <c:pt idx="3">
                  <c:v>3</c:v>
                </c:pt>
                <c:pt idx="4">
                  <c:v>3</c:v>
                </c:pt>
                <c:pt idx="5">
                  <c:v>3</c:v>
                </c:pt>
                <c:pt idx="6">
                  <c:v>3</c:v>
                </c:pt>
                <c:pt idx="7">
                  <c:v>3</c:v>
                </c:pt>
                <c:pt idx="8">
                  <c:v>3</c:v>
                </c:pt>
                <c:pt idx="9">
                  <c:v>3</c:v>
                </c:pt>
                <c:pt idx="10">
                  <c:v>4</c:v>
                </c:pt>
                <c:pt idx="11">
                  <c:v>3</c:v>
                </c:pt>
                <c:pt idx="12">
                  <c:v>3</c:v>
                </c:pt>
                <c:pt idx="13">
                  <c:v>3</c:v>
                </c:pt>
                <c:pt idx="14">
                  <c:v>4</c:v>
                </c:pt>
                <c:pt idx="15">
                  <c:v>4</c:v>
                </c:pt>
                <c:pt idx="16">
                  <c:v>4</c:v>
                </c:pt>
                <c:pt idx="17">
                  <c:v>4</c:v>
                </c:pt>
                <c:pt idx="18">
                  <c:v>3</c:v>
                </c:pt>
                <c:pt idx="19">
                  <c:v>5</c:v>
                </c:pt>
              </c:numCache>
            </c:numRef>
          </c:val>
        </c:ser>
        <c:dLbls>
          <c:showLegendKey val="false"/>
          <c:showVal val="false"/>
          <c:showCatName val="false"/>
          <c:showSerName val="false"/>
          <c:showPercent val="false"/>
          <c:showBubbleSize val="false"/>
        </c:dLbls>
        <c:gapWidth val="150"/>
        <c:axId val="319383040"/>
        <c:axId val="319384576"/>
      </c:barChart>
      <c:catAx>
        <c:axId val="319383040"/>
        <c:scaling>
          <c:orientation val="minMax"/>
        </c:scaling>
        <c:delete val="false"/>
        <c:axPos val="b"/>
        <c:numFmt formatCode="General" sourceLinked="false"/>
        <c:majorTickMark val="out"/>
        <c:minorTickMark val="none"/>
        <c:tickLblPos val="nextTo"/>
        <c:spPr>
          <a:ln w="6350" cap="flat" cmpd="sng" algn="ctr">
            <a:solidFill>
              <a:schemeClr val="tx1"/>
            </a:solidFill>
            <a:prstDash val="solid"/>
            <a:round/>
          </a:ln>
        </c:spPr>
        <c:txPr>
          <a:bodyPr rot="-336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319384576"/>
        <c:crosses val="autoZero"/>
        <c:auto val="true"/>
        <c:lblAlgn val="ctr"/>
        <c:lblOffset val="100"/>
        <c:noMultiLvlLbl val="false"/>
      </c:catAx>
      <c:valAx>
        <c:axId val="319384576"/>
        <c:scaling>
          <c:orientation val="minMax"/>
        </c:scaling>
        <c:delete val="true"/>
        <c:axPos val="l"/>
        <c:numFmt formatCode="General" sourceLinked="true"/>
        <c:majorTickMark val="out"/>
        <c:minorTickMark val="none"/>
        <c:tickLblPos val="nextTo"/>
        <c:txPr>
          <a:bodyPr rot="-6000000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crossAx val="319383040"/>
        <c:crosses val="autoZero"/>
        <c:crossBetween val="between"/>
      </c:valAx>
      <c:spPr>
        <a:ln>
          <a:solidFill>
            <a:schemeClr val="tx1"/>
          </a:solidFill>
        </a:ln>
      </c:spPr>
    </c:plotArea>
    <c:legend>
      <c:legendPos val="t"/>
      <c:layout>
        <c:manualLayout>
          <c:xMode val="edge"/>
          <c:yMode val="edge"/>
          <c:x val="0.105640246360604"/>
          <c:y val="0.0795265138317887"/>
          <c:w val="0.259254954676536"/>
          <c:h val="0.0797042875938851"/>
        </c:manualLayout>
      </c:layout>
      <c:overlay val="false"/>
      <c:txPr>
        <a:bodyPr rot="0" spcFirstLastPara="0" vertOverflow="ellipsis" vert="horz" wrap="square" anchor="ctr" anchorCtr="true"/>
        <a:lstStyle/>
        <a:p>
          <a:pPr>
            <a:defRPr lang="zh-CN" sz="1000" b="0" i="0" u="none" strike="noStrike" kern="1200" baseline="0">
              <a:solidFill>
                <a:schemeClr val="tx1"/>
              </a:solidFill>
              <a:latin typeface="+mn-lt"/>
              <a:ea typeface="+mn-ea"/>
              <a:cs typeface="+mn-cs"/>
            </a:defRPr>
          </a:pPr>
        </a:p>
      </c:txPr>
    </c:legend>
    <c:plotVisOnly val="true"/>
    <c:dispBlanksAs val="gap"/>
    <c:showDLblsOverMax val="false"/>
  </c:chart>
  <c:spPr>
    <a:ln w="6350" cap="flat" cmpd="sng" algn="ctr">
      <a:noFill/>
      <a:prstDash val="solid"/>
      <a:round/>
    </a:ln>
  </c:spPr>
  <c:txPr>
    <a:bodyPr/>
    <a:lstStyle/>
    <a:p>
      <a:pPr>
        <a:defRPr lang="zh-CN"/>
      </a:pPr>
    </a:p>
  </c:txPr>
  <c:externalData r:id="rId1">
    <c:autoUpdate val="false"/>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38428258967629"/>
          <c:y val="0.0555555555555556"/>
          <c:w val="0.831016185476815"/>
          <c:h val="0.818178769320502"/>
        </c:manualLayout>
      </c:layout>
      <c:barChart>
        <c:barDir val="col"/>
        <c:grouping val="clustered"/>
        <c:varyColors val="false"/>
        <c:ser>
          <c:idx val="0"/>
          <c:order val="0"/>
          <c:tx>
            <c:strRef>
              <c:f>区域环境噪声!$A$4</c:f>
              <c:strCache>
                <c:ptCount val="1"/>
                <c:pt idx="0">
                  <c:v>昼间</c:v>
                </c:pt>
              </c:strCache>
            </c:strRef>
          </c:tx>
          <c:spPr>
            <a:solidFill>
              <a:schemeClr val="accent1"/>
            </a:solidFill>
            <a:ln>
              <a:noFill/>
            </a:ln>
            <a:effectLst/>
            <a:scene3d>
              <a:camera prst="orthographicFront"/>
              <a:lightRig rig="threePt" dir="t"/>
            </a:scene3d>
            <a:sp3d>
              <a:bevelT/>
              <a:bevelB/>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区域环境噪声!$B$3:$F$3</c:f>
              <c:strCache>
                <c:ptCount val="5"/>
                <c:pt idx="0">
                  <c:v>2017年</c:v>
                </c:pt>
                <c:pt idx="1">
                  <c:v>2018年</c:v>
                </c:pt>
                <c:pt idx="2">
                  <c:v>2019年</c:v>
                </c:pt>
                <c:pt idx="3">
                  <c:v>2020年</c:v>
                </c:pt>
                <c:pt idx="4">
                  <c:v>2021年</c:v>
                </c:pt>
              </c:strCache>
            </c:strRef>
          </c:cat>
          <c:val>
            <c:numRef>
              <c:f>区域环境噪声!$B$4:$F$4</c:f>
              <c:numCache>
                <c:formatCode>General</c:formatCode>
                <c:ptCount val="5"/>
                <c:pt idx="0">
                  <c:v>57.9</c:v>
                </c:pt>
                <c:pt idx="1">
                  <c:v>54.8</c:v>
                </c:pt>
                <c:pt idx="2" c:formatCode="0.0_ ">
                  <c:v>53.4</c:v>
                </c:pt>
                <c:pt idx="3" c:formatCode="0.0_ ">
                  <c:v>52.4</c:v>
                </c:pt>
                <c:pt idx="4" c:formatCode="0.0_ ">
                  <c:v>53.4</c:v>
                </c:pt>
              </c:numCache>
            </c:numRef>
          </c:val>
        </c:ser>
        <c:ser>
          <c:idx val="1"/>
          <c:order val="1"/>
          <c:tx>
            <c:strRef>
              <c:f>区域环境噪声!$A$5</c:f>
              <c:strCache>
                <c:ptCount val="1"/>
                <c:pt idx="0">
                  <c:v>夜间</c:v>
                </c:pt>
              </c:strCache>
            </c:strRef>
          </c:tx>
          <c:spPr>
            <a:solidFill>
              <a:schemeClr val="accent2"/>
            </a:solidFill>
            <a:ln>
              <a:noFill/>
            </a:ln>
            <a:effectLst/>
            <a:scene3d>
              <a:camera prst="orthographicFront"/>
              <a:lightRig rig="threePt" dir="t"/>
            </a:scene3d>
            <a:sp3d>
              <a:bevelT/>
              <a:bevelB/>
            </a:sp3d>
          </c:spPr>
          <c:invertIfNegative val="false"/>
          <c:dLbls>
            <c:dLbl>
              <c:idx val="0"/>
              <c:layout>
                <c:manualLayout>
                  <c:x val="0.0014582239720035"/>
                  <c:y val="0.0162383347914844"/>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1"/>
              <c:layout>
                <c:manualLayout>
                  <c:x val="0.0014582239720035"/>
                  <c:y val="0.020867964421114"/>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2"/>
              <c:layout>
                <c:manualLayout>
                  <c:x val="0.00701377952755895"/>
                  <c:y val="0.0116087051618547"/>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3"/>
              <c:layout>
                <c:manualLayout>
                  <c:x val="0.00701377952755905"/>
                  <c:y val="0.0116087051618548"/>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4"/>
              <c:layout>
                <c:manualLayout>
                  <c:x val="0.0014582239720034"/>
                  <c:y val="0.0116087051618548"/>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区域环境噪声!$B$3:$F$3</c:f>
              <c:strCache>
                <c:ptCount val="5"/>
                <c:pt idx="0">
                  <c:v>2017年</c:v>
                </c:pt>
                <c:pt idx="1">
                  <c:v>2018年</c:v>
                </c:pt>
                <c:pt idx="2">
                  <c:v>2019年</c:v>
                </c:pt>
                <c:pt idx="3">
                  <c:v>2020年</c:v>
                </c:pt>
                <c:pt idx="4">
                  <c:v>2021年</c:v>
                </c:pt>
              </c:strCache>
            </c:strRef>
          </c:cat>
          <c:val>
            <c:numRef>
              <c:f>区域环境噪声!$B$5:$F$5</c:f>
              <c:numCache>
                <c:formatCode>General</c:formatCode>
                <c:ptCount val="5"/>
                <c:pt idx="0">
                  <c:v>51.2</c:v>
                </c:pt>
                <c:pt idx="1">
                  <c:v>51.7</c:v>
                </c:pt>
                <c:pt idx="2" c:formatCode="0.0_ ">
                  <c:v>48.4</c:v>
                </c:pt>
                <c:pt idx="3" c:formatCode="0.0_ ">
                  <c:v>46.2</c:v>
                </c:pt>
                <c:pt idx="4" c:formatCode="0.0_ ">
                  <c:v>45.3</c:v>
                </c:pt>
              </c:numCache>
            </c:numRef>
          </c:val>
        </c:ser>
        <c:dLbls>
          <c:showLegendKey val="false"/>
          <c:showVal val="true"/>
          <c:showCatName val="false"/>
          <c:showSerName val="false"/>
          <c:showPercent val="false"/>
          <c:showBubbleSize val="false"/>
        </c:dLbls>
        <c:gapWidth val="150"/>
        <c:axId val="548098432"/>
        <c:axId val="548099968"/>
      </c:barChart>
      <c:catAx>
        <c:axId val="548098432"/>
        <c:scaling>
          <c:orientation val="minMax"/>
        </c:scaling>
        <c:delete val="false"/>
        <c:axPos val="b"/>
        <c:numFmt formatCode="General" sourceLinked="tru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8099968"/>
        <c:crosses val="autoZero"/>
        <c:auto val="true"/>
        <c:lblAlgn val="ctr"/>
        <c:lblOffset val="100"/>
        <c:noMultiLvlLbl val="false"/>
      </c:catAx>
      <c:valAx>
        <c:axId val="548099968"/>
        <c:scaling>
          <c:orientation val="minMax"/>
          <c:min val="0"/>
        </c:scaling>
        <c:delete val="false"/>
        <c:axPos val="l"/>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zh-CN" sz="1050" b="0" i="0" baseline="0">
                    <a:effectLst/>
                  </a:rPr>
                  <a:t>平均等效声级</a:t>
                </a:r>
                <a:r>
                  <a:rPr lang="en-US" altLang="zh-CN" sz="1050" b="0" i="0" baseline="0">
                    <a:effectLst/>
                  </a:rPr>
                  <a:t>Leq (dB(A))</a:t>
                </a:r>
                <a:endParaRPr lang="zh-CN" altLang="zh-CN" sz="1050">
                  <a:effectLst/>
                </a:endParaRPr>
              </a:p>
            </c:rich>
          </c:tx>
          <c:layout/>
          <c:overlay val="false"/>
          <c:spPr>
            <a:noFill/>
            <a:ln>
              <a:noFill/>
            </a:ln>
            <a:effectLst/>
          </c:spPr>
        </c:title>
        <c:numFmt formatCode="0_ " sourceLinked="fals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48098432"/>
        <c:crosses val="autoZero"/>
        <c:crossBetween val="between"/>
      </c:valAx>
      <c:spPr>
        <a:noFill/>
        <a:ln>
          <a:solidFill>
            <a:schemeClr val="tx1"/>
          </a:solidFill>
        </a:ln>
        <a:effectLst/>
      </c:spPr>
    </c:plotArea>
    <c:legend>
      <c:legendPos val="b"/>
      <c:layout>
        <c:manualLayout>
          <c:xMode val="edge"/>
          <c:yMode val="edge"/>
          <c:x val="0.635"/>
          <c:y val="0.0746522309711286"/>
          <c:w val="0.315138670166229"/>
          <c:h val="0.0707462088072324"/>
        </c:manualLayout>
      </c:layout>
      <c:overlay val="false"/>
      <c:spPr>
        <a:noFill/>
        <a:ln>
          <a:noFill/>
        </a:ln>
        <a:effectLst/>
      </c:spPr>
      <c:txPr>
        <a:bodyPr rot="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noFill/>
    <a:ln w="9525" cap="flat" cmpd="sng" algn="ctr">
      <a:noFill/>
      <a:prstDash val="solid"/>
      <a:round/>
    </a:ln>
    <a:effectLst/>
  </c:spPr>
  <c:txPr>
    <a:bodyPr/>
    <a:lstStyle/>
    <a:p>
      <a:pPr>
        <a:defRPr lang="zh-CN"/>
      </a:pPr>
    </a:p>
  </c:txPr>
  <c:externalData r:id="rId1">
    <c:autoUpdate val="false"/>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600" b="1" i="0" u="none" strike="noStrike" kern="1200" cap="all" baseline="0">
                <a:solidFill>
                  <a:schemeClr val="bg1"/>
                </a:solidFill>
                <a:latin typeface="+mn-lt"/>
                <a:ea typeface="+mn-ea"/>
                <a:cs typeface="+mn-cs"/>
              </a:defRPr>
            </a:pPr>
            <a:r>
              <a:rPr lang="zh-CN" altLang="en-US">
                <a:solidFill>
                  <a:schemeClr val="bg1"/>
                </a:solidFill>
              </a:rPr>
              <a:t>昼间</a:t>
            </a:r>
            <a:endParaRPr lang="zh-CN" altLang="en-US">
              <a:solidFill>
                <a:schemeClr val="bg1"/>
              </a:solidFill>
            </a:endParaRPr>
          </a:p>
        </c:rich>
      </c:tx>
      <c:layout>
        <c:manualLayout>
          <c:xMode val="edge"/>
          <c:yMode val="edge"/>
          <c:x val="0.408168197196713"/>
          <c:y val="0.521960534691279"/>
        </c:manualLayout>
      </c:layout>
      <c:overlay val="false"/>
      <c:spPr>
        <a:noFill/>
        <a:ln>
          <a:noFill/>
        </a:ln>
        <a:effectLst/>
      </c:spPr>
    </c:title>
    <c:autoTitleDeleted val="false"/>
    <c:plotArea>
      <c:layout>
        <c:manualLayout>
          <c:layoutTarget val="inner"/>
          <c:xMode val="edge"/>
          <c:yMode val="edge"/>
          <c:x val="0.0451924357691151"/>
          <c:y val="0.202272488058662"/>
          <c:w val="0.913926237712311"/>
          <c:h val="0.765735250630273"/>
        </c:manualLayout>
      </c:layout>
      <c:pieChart>
        <c:varyColors val="true"/>
        <c:ser>
          <c:idx val="0"/>
          <c:order val="0"/>
          <c:tx>
            <c:strRef>
              <c:f>区域环境噪声!$D$33</c:f>
              <c:strCache>
                <c:ptCount val="1"/>
                <c:pt idx="0">
                  <c:v>2021年</c:v>
                </c:pt>
              </c:strCache>
            </c:strRef>
          </c:tx>
          <c:explosion val="0"/>
          <c:dPt>
            <c:idx val="0"/>
            <c:bubble3D val="false"/>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false"/>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false"/>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false"/>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false"/>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0.110081328040858"/>
                  <c:y val="0.110378564232622"/>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800" b="1" i="0" u="none" strike="noStrike" kern="1200" spc="0" baseline="0">
                      <a:solidFill>
                        <a:schemeClr val="bg1"/>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232479458675689"/>
                      <c:h val="0.152852697095436"/>
                    </c:manualLayout>
                  </c15:layout>
                </c:ext>
              </c:extLst>
            </c:dLbl>
            <c:dLbl>
              <c:idx val="1"/>
              <c:layout>
                <c:manualLayout>
                  <c:x val="-0.00988457278992857"/>
                  <c:y val="-0.37942831939133"/>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800" b="1" i="0" u="none" strike="noStrike" kern="1200" spc="0" baseline="0">
                      <a:solidFill>
                        <a:schemeClr val="bg1"/>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318477487317469"/>
                      <c:h val="0.142268517005914"/>
                    </c:manualLayout>
                  </c15:layout>
                </c:ext>
              </c:extLst>
            </c:dLbl>
            <c:dLbl>
              <c:idx val="2"/>
              <c:layout>
                <c:manualLayout>
                  <c:x val="0.151832259488589"/>
                  <c:y val="0.145785070946335"/>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800" b="1" i="0" u="none" strike="noStrike" kern="1200" spc="0" baseline="0">
                      <a:solidFill>
                        <a:schemeClr val="bg1"/>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35607905222577"/>
                      <c:h val="0.142268517005914"/>
                    </c:manualLayout>
                  </c15:layout>
                </c:ext>
              </c:extLst>
            </c:dLbl>
            <c:dLbl>
              <c:idx val="3"/>
              <c:layout>
                <c:manualLayout>
                  <c:x val="-0.12190034365569"/>
                  <c:y val="-0.0138889796451792"/>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800" b="1" i="0" u="none" strike="noStrike" kern="1200" spc="0" baseline="0">
                      <a:solidFill>
                        <a:schemeClr val="accent4"/>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322170549126019"/>
                      <c:h val="0.142268517005914"/>
                    </c:manualLayout>
                  </c15:layout>
                </c:ext>
              </c:extLst>
            </c:dLbl>
            <c:dLbl>
              <c:idx val="4"/>
              <c:layout>
                <c:manualLayout>
                  <c:x val="0.154026251793441"/>
                  <c:y val="-0.0596691008786219"/>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800" b="1" i="0" u="none" strike="noStrike" kern="1200" spc="0" baseline="0">
                      <a:solidFill>
                        <a:schemeClr val="accent5"/>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280811986466892"/>
                      <c:h val="0.152852697095436"/>
                    </c:manualLayout>
                  </c15:layout>
                </c:ext>
              </c:extLst>
            </c:dLbl>
            <c:spPr>
              <a:noFill/>
              <a:ln>
                <a:noFill/>
              </a:ln>
              <a:effectLst/>
            </c:spPr>
            <c:txPr>
              <a:bodyPr rot="0" spcFirstLastPara="1" vertOverflow="ellipsis" vert="horz" wrap="square" lIns="38100" tIns="19050" rIns="38100" bIns="19050" anchor="ctr" anchorCtr="true">
                <a:spAutoFit/>
              </a:bodyPr>
              <a:lstStyle/>
              <a:p>
                <a:pPr>
                  <a:defRPr lang="zh-CN" sz="800" b="1" i="0" u="none" strike="noStrike" kern="1200" spc="0" baseline="0">
                    <a:solidFill>
                      <a:schemeClr val="accent1"/>
                    </a:solidFill>
                    <a:latin typeface="+mn-lt"/>
                    <a:ea typeface="+mn-ea"/>
                    <a:cs typeface="+mn-cs"/>
                  </a:defRPr>
                </a:pPr>
              </a:p>
            </c:txPr>
            <c:dLblPos val="outEnd"/>
            <c:showLegendKey val="false"/>
            <c:showVal val="true"/>
            <c:showCatName val="tru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区域环境噪声!$A$34:$A$38</c:f>
              <c:strCache>
                <c:ptCount val="5"/>
                <c:pt idx="0">
                  <c:v>好</c:v>
                </c:pt>
                <c:pt idx="1">
                  <c:v>较好</c:v>
                </c:pt>
                <c:pt idx="2">
                  <c:v>一般</c:v>
                </c:pt>
                <c:pt idx="3">
                  <c:v>较差</c:v>
                </c:pt>
                <c:pt idx="4">
                  <c:v>差</c:v>
                </c:pt>
              </c:strCache>
            </c:strRef>
          </c:cat>
          <c:val>
            <c:numRef>
              <c:f>区域环境噪声!$D$34:$D$38</c:f>
              <c:numCache>
                <c:formatCode>0.0%</c:formatCode>
                <c:ptCount val="5"/>
                <c:pt idx="0">
                  <c:v>0.0714285714285714</c:v>
                </c:pt>
                <c:pt idx="1">
                  <c:v>0.785714285714286</c:v>
                </c:pt>
                <c:pt idx="2">
                  <c:v>0.142857142857143</c:v>
                </c:pt>
                <c:pt idx="3">
                  <c:v>0</c:v>
                </c:pt>
                <c:pt idx="4">
                  <c:v>0</c:v>
                </c:pt>
              </c:numCache>
            </c:numRef>
          </c:val>
        </c:ser>
        <c:dLbls>
          <c:showLegendKey val="false"/>
          <c:showVal val="false"/>
          <c:showCatName val="true"/>
          <c:showSerName val="false"/>
          <c:showPercent val="false"/>
          <c:showBubbleSize val="false"/>
          <c:showLeaderLines val="true"/>
        </c:dLbls>
        <c:firstSliceAng val="0"/>
      </c:pieChart>
      <c:spPr>
        <a:noFill/>
        <a:ln>
          <a:noFill/>
        </a:ln>
        <a:effectLst/>
      </c:spPr>
    </c:plotArea>
    <c:plotVisOnly val="true"/>
    <c:dispBlanksAs val="zero"/>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600" b="1" i="0" u="none" strike="noStrike" kern="1200" cap="all" baseline="0">
                <a:solidFill>
                  <a:schemeClr val="bg1"/>
                </a:solidFill>
                <a:latin typeface="+mn-lt"/>
                <a:ea typeface="+mn-ea"/>
                <a:cs typeface="+mn-cs"/>
              </a:defRPr>
            </a:pPr>
            <a:r>
              <a:rPr lang="zh-CN" altLang="en-US">
                <a:solidFill>
                  <a:schemeClr val="bg1"/>
                </a:solidFill>
              </a:rPr>
              <a:t>夜间</a:t>
            </a:r>
            <a:endParaRPr lang="zh-CN" altLang="en-US">
              <a:solidFill>
                <a:schemeClr val="bg1"/>
              </a:solidFill>
            </a:endParaRPr>
          </a:p>
        </c:rich>
      </c:tx>
      <c:layout>
        <c:manualLayout>
          <c:xMode val="edge"/>
          <c:yMode val="edge"/>
          <c:x val="0.375239923224568"/>
          <c:y val="0.519657788200768"/>
        </c:manualLayout>
      </c:layout>
      <c:overlay val="false"/>
      <c:spPr>
        <a:noFill/>
        <a:ln>
          <a:noFill/>
        </a:ln>
        <a:effectLst/>
      </c:spPr>
    </c:title>
    <c:autoTitleDeleted val="false"/>
    <c:plotArea>
      <c:layout>
        <c:manualLayout>
          <c:layoutTarget val="inner"/>
          <c:xMode val="edge"/>
          <c:yMode val="edge"/>
          <c:x val="0.0308322124321792"/>
          <c:y val="0.222226996999751"/>
          <c:w val="0.873198497740566"/>
          <c:h val="0.723318353924561"/>
        </c:manualLayout>
      </c:layout>
      <c:pieChart>
        <c:varyColors val="true"/>
        <c:ser>
          <c:idx val="0"/>
          <c:order val="0"/>
          <c:tx>
            <c:strRef>
              <c:f>区域环境噪声!$D$50</c:f>
              <c:strCache>
                <c:ptCount val="1"/>
                <c:pt idx="0">
                  <c:v>2021年</c:v>
                </c:pt>
              </c:strCache>
            </c:strRef>
          </c:tx>
          <c:explosion val="0"/>
          <c:dPt>
            <c:idx val="0"/>
            <c:bubble3D val="false"/>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false"/>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false"/>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false"/>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false"/>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0.230326295585413"/>
                  <c:y val="0.111693633969631"/>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bg1"/>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273585019722823"/>
                      <c:h val="0.187587523870146"/>
                    </c:manualLayout>
                  </c15:layout>
                </c:ext>
              </c:extLst>
            </c:dLbl>
            <c:dLbl>
              <c:idx val="1"/>
              <c:layout>
                <c:manualLayout>
                  <c:x val="-0.120288814665921"/>
                  <c:y val="-0.148525685537228"/>
                </c:manualLayout>
              </c:layout>
              <c:numFmt formatCode="General" sourceLinked="true"/>
              <c:spPr>
                <a:noFill/>
                <a:ln>
                  <a:noFill/>
                </a:ln>
                <a:effectLst/>
              </c:spPr>
              <c:txPr>
                <a:bodyPr rot="0" spcFirstLastPara="1" vertOverflow="ellipsis" vert="horz" wrap="square" lIns="38100" tIns="19050" rIns="38100" bIns="19050" anchor="ctr" anchorCtr="true">
                  <a:noAutofit/>
                </a:bodyPr>
                <a:lstStyle/>
                <a:p>
                  <a:pPr>
                    <a:defRPr lang="zh-CN" sz="700" b="1" i="0" u="none" strike="noStrike" kern="1200" spc="0" baseline="0">
                      <a:solidFill>
                        <a:schemeClr val="bg1"/>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170143349403781"/>
                      <c:h val="0.284376432979155"/>
                    </c:manualLayout>
                  </c15:layout>
                </c:ext>
              </c:extLst>
            </c:dLbl>
            <c:dLbl>
              <c:idx val="2"/>
              <c:layout>
                <c:manualLayout>
                  <c:x val="0.143953934740883"/>
                  <c:y val="-0.361452696948656"/>
                </c:manualLayout>
              </c:layout>
              <c:numFmt formatCode="General" sourceLinked="true"/>
              <c:spPr>
                <a:noFill/>
                <a:ln>
                  <a:noFill/>
                </a:ln>
                <a:effectLst/>
              </c:spPr>
              <c:txPr>
                <a:bodyPr rot="0" spcFirstLastPara="1" vertOverflow="ellipsis" vert="horz" wrap="square" lIns="38100" tIns="19050" rIns="38100" bIns="19050" anchor="ctr" anchorCtr="true">
                  <a:noAutofit/>
                </a:bodyPr>
                <a:lstStyle/>
                <a:p>
                  <a:pPr>
                    <a:defRPr lang="zh-CN" sz="700" b="1" i="0" u="none" strike="noStrike" kern="1200" spc="0" baseline="0">
                      <a:solidFill>
                        <a:schemeClr val="bg1"/>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203199102271525"/>
                      <c:h val="0.225018419483052"/>
                    </c:manualLayout>
                  </c15:layout>
                </c:ext>
              </c:extLst>
            </c:dLbl>
            <c:dLbl>
              <c:idx val="3"/>
              <c:layout>
                <c:manualLayout>
                  <c:x val="0.0535761784575393"/>
                  <c:y val="0.00781112843423691"/>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accent4"/>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266376963749097"/>
                      <c:h val="0.142268518518518"/>
                    </c:manualLayout>
                  </c15:layout>
                </c:ext>
              </c:extLst>
            </c:dLbl>
            <c:dLbl>
              <c:idx val="4"/>
              <c:layout>
                <c:manualLayout>
                  <c:x val="0.131681578430335"/>
                  <c:y val="-0.032454046405597"/>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accent5"/>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217979700338328"/>
                      <c:h val="0.136435185185185"/>
                    </c:manualLayout>
                  </c15:layout>
                </c:ext>
              </c:extLst>
            </c:dLbl>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accent1"/>
                    </a:solidFill>
                    <a:latin typeface="+mn-lt"/>
                    <a:ea typeface="+mn-ea"/>
                    <a:cs typeface="+mn-cs"/>
                  </a:defRPr>
                </a:pPr>
              </a:p>
            </c:txPr>
            <c:dLblPos val="outEnd"/>
            <c:showLegendKey val="false"/>
            <c:showVal val="true"/>
            <c:showCatName val="tru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区域环境噪声!$A$51:$A$55</c:f>
              <c:strCache>
                <c:ptCount val="5"/>
                <c:pt idx="0">
                  <c:v>好</c:v>
                </c:pt>
                <c:pt idx="1">
                  <c:v>较好</c:v>
                </c:pt>
                <c:pt idx="2">
                  <c:v>一般</c:v>
                </c:pt>
                <c:pt idx="3">
                  <c:v>较差</c:v>
                </c:pt>
                <c:pt idx="4">
                  <c:v>差</c:v>
                </c:pt>
              </c:strCache>
            </c:strRef>
          </c:cat>
          <c:val>
            <c:numRef>
              <c:f>区域环境噪声!$D$51:$D$55</c:f>
              <c:numCache>
                <c:formatCode>0.0%</c:formatCode>
                <c:ptCount val="5"/>
                <c:pt idx="0">
                  <c:v>0.214285714285714</c:v>
                </c:pt>
                <c:pt idx="1">
                  <c:v>0.142857142857143</c:v>
                </c:pt>
                <c:pt idx="2">
                  <c:v>0.571428571428572</c:v>
                </c:pt>
                <c:pt idx="3">
                  <c:v>0.0714285714285714</c:v>
                </c:pt>
                <c:pt idx="4">
                  <c:v>0</c:v>
                </c:pt>
              </c:numCache>
            </c:numRef>
          </c:val>
        </c:ser>
        <c:dLbls>
          <c:showLegendKey val="false"/>
          <c:showVal val="false"/>
          <c:showCatName val="true"/>
          <c:showSerName val="false"/>
          <c:showPercent val="false"/>
          <c:showBubbleSize val="false"/>
          <c:showLeaderLines val="true"/>
        </c:dLbls>
        <c:firstSliceAng val="0"/>
      </c:pieChart>
      <c:spPr>
        <a:noFill/>
        <a:ln>
          <a:noFill/>
        </a:ln>
        <a:effectLst/>
      </c:spPr>
    </c:plotArea>
    <c:plotVisOnly val="true"/>
    <c:dispBlanksAs val="zero"/>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25.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34872703412073"/>
          <c:y val="0.0301783705608228"/>
          <c:w val="0.834571741032371"/>
          <c:h val="0.862074780334998"/>
        </c:manualLayout>
      </c:layout>
      <c:barChart>
        <c:barDir val="col"/>
        <c:grouping val="clustered"/>
        <c:varyColors val="false"/>
        <c:ser>
          <c:idx val="0"/>
          <c:order val="0"/>
          <c:tx>
            <c:strRef>
              <c:f>道路交通环境噪声!$A$9</c:f>
              <c:strCache>
                <c:ptCount val="1"/>
                <c:pt idx="0">
                  <c:v>昼间</c:v>
                </c:pt>
              </c:strCache>
            </c:strRef>
          </c:tx>
          <c:spPr>
            <a:solidFill>
              <a:schemeClr val="accent1"/>
            </a:solidFill>
            <a:ln w="28575" cap="rnd">
              <a:solidFill>
                <a:schemeClr val="accent1"/>
              </a:solidFill>
              <a:round/>
            </a:ln>
            <a:effectLst/>
            <a:scene3d>
              <a:camera prst="orthographicFront"/>
              <a:lightRig rig="threePt" dir="t"/>
            </a:scene3d>
            <a:sp3d>
              <a:bevelT/>
              <a:bevelB/>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道路交通环境噪声!$B$8:$F$8</c:f>
              <c:strCache>
                <c:ptCount val="5"/>
                <c:pt idx="0">
                  <c:v>2017年</c:v>
                </c:pt>
                <c:pt idx="1">
                  <c:v>2018年</c:v>
                </c:pt>
                <c:pt idx="2">
                  <c:v>2019年</c:v>
                </c:pt>
                <c:pt idx="3">
                  <c:v>2020年</c:v>
                </c:pt>
                <c:pt idx="4">
                  <c:v>2021年</c:v>
                </c:pt>
              </c:strCache>
            </c:strRef>
          </c:cat>
          <c:val>
            <c:numRef>
              <c:f>道路交通环境噪声!$B$9:$F$9</c:f>
              <c:numCache>
                <c:formatCode>0.0_);[Red]\(0.0\)</c:formatCode>
                <c:ptCount val="5"/>
                <c:pt idx="0">
                  <c:v>67.1</c:v>
                </c:pt>
                <c:pt idx="1">
                  <c:v>65.85</c:v>
                </c:pt>
                <c:pt idx="2">
                  <c:v>66.1</c:v>
                </c:pt>
                <c:pt idx="3">
                  <c:v>65.9</c:v>
                </c:pt>
                <c:pt idx="4">
                  <c:v>64.4</c:v>
                </c:pt>
              </c:numCache>
            </c:numRef>
          </c:val>
        </c:ser>
        <c:ser>
          <c:idx val="1"/>
          <c:order val="1"/>
          <c:tx>
            <c:strRef>
              <c:f>道路交通环境噪声!$A$10</c:f>
              <c:strCache>
                <c:ptCount val="1"/>
                <c:pt idx="0">
                  <c:v>夜间</c:v>
                </c:pt>
              </c:strCache>
            </c:strRef>
          </c:tx>
          <c:spPr>
            <a:solidFill>
              <a:schemeClr val="accent2"/>
            </a:solidFill>
            <a:ln w="28575" cap="rnd">
              <a:solidFill>
                <a:schemeClr val="accent2"/>
              </a:solidFill>
              <a:round/>
            </a:ln>
            <a:effectLst/>
            <a:scene3d>
              <a:camera prst="orthographicFront"/>
              <a:lightRig rig="threePt" dir="t"/>
            </a:scene3d>
            <a:sp3d>
              <a:bevelT/>
              <a:bevelB/>
            </a:sp3d>
          </c:spPr>
          <c:invertIfNegative val="false"/>
          <c:dLbls>
            <c:dLbl>
              <c:idx val="0"/>
              <c:layout>
                <c:manualLayout>
                  <c:x val="0.00564413715253281"/>
                  <c:y val="0"/>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1"/>
              <c:layout>
                <c:manualLayout>
                  <c:x val="0.0028220685762664"/>
                  <c:y val="-2.30953912163628e-17"/>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2"/>
              <c:layout>
                <c:manualLayout>
                  <c:x val="0.00564413715253281"/>
                  <c:y val="2.30953912163628e-17"/>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3"/>
              <c:layout>
                <c:manualLayout>
                  <c:x val="0.0056441371525327"/>
                  <c:y val="-2.30953912163628e-17"/>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4"/>
              <c:layout>
                <c:manualLayout>
                  <c:x val="0.00846620572879911"/>
                  <c:y val="0"/>
                </c:manualLayout>
              </c:layout>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道路交通环境噪声!$B$8:$F$8</c:f>
              <c:strCache>
                <c:ptCount val="5"/>
                <c:pt idx="0">
                  <c:v>2017年</c:v>
                </c:pt>
                <c:pt idx="1">
                  <c:v>2018年</c:v>
                </c:pt>
                <c:pt idx="2">
                  <c:v>2019年</c:v>
                </c:pt>
                <c:pt idx="3">
                  <c:v>2020年</c:v>
                </c:pt>
                <c:pt idx="4">
                  <c:v>2021年</c:v>
                </c:pt>
              </c:strCache>
            </c:strRef>
          </c:cat>
          <c:val>
            <c:numRef>
              <c:f>道路交通环境噪声!$B$10:$F$10</c:f>
              <c:numCache>
                <c:formatCode>0.0_);[Red]\(0.0\)</c:formatCode>
                <c:ptCount val="5"/>
                <c:pt idx="0">
                  <c:v>61.35</c:v>
                </c:pt>
                <c:pt idx="1">
                  <c:v>60.175</c:v>
                </c:pt>
                <c:pt idx="2">
                  <c:v>60.3</c:v>
                </c:pt>
                <c:pt idx="3">
                  <c:v>59.7</c:v>
                </c:pt>
                <c:pt idx="4">
                  <c:v>58.9</c:v>
                </c:pt>
              </c:numCache>
            </c:numRef>
          </c:val>
        </c:ser>
        <c:dLbls>
          <c:showLegendKey val="false"/>
          <c:showVal val="true"/>
          <c:showCatName val="false"/>
          <c:showSerName val="false"/>
          <c:showPercent val="false"/>
          <c:showBubbleSize val="false"/>
        </c:dLbls>
        <c:gapWidth val="150"/>
        <c:axId val="838628879"/>
        <c:axId val="838628463"/>
      </c:barChart>
      <c:catAx>
        <c:axId val="838628879"/>
        <c:scaling>
          <c:orientation val="minMax"/>
        </c:scaling>
        <c:delete val="false"/>
        <c:axPos val="b"/>
        <c:numFmt formatCode="General" sourceLinked="tru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838628463"/>
        <c:crosses val="autoZero"/>
        <c:auto val="true"/>
        <c:lblAlgn val="ctr"/>
        <c:lblOffset val="100"/>
        <c:noMultiLvlLbl val="false"/>
      </c:catAx>
      <c:valAx>
        <c:axId val="838628463"/>
        <c:scaling>
          <c:orientation val="minMax"/>
          <c:max val="75"/>
          <c:min val="35"/>
        </c:scaling>
        <c:delete val="false"/>
        <c:axPos val="l"/>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zh-CN" sz="1050" b="0" i="0" baseline="0">
                    <a:effectLst/>
                  </a:rPr>
                  <a:t>平均等效声级</a:t>
                </a:r>
                <a:r>
                  <a:rPr lang="en-US" altLang="zh-CN" sz="1050" b="0" i="0" baseline="0">
                    <a:effectLst/>
                  </a:rPr>
                  <a:t>Leq (dB(A))</a:t>
                </a:r>
                <a:endParaRPr lang="zh-CN" altLang="zh-CN" sz="1050">
                  <a:effectLst/>
                </a:endParaRPr>
              </a:p>
            </c:rich>
          </c:tx>
          <c:layout>
            <c:manualLayout>
              <c:xMode val="edge"/>
              <c:yMode val="edge"/>
              <c:x val="0.0259166666666667"/>
              <c:y val="0.25730679498396"/>
            </c:manualLayout>
          </c:layout>
          <c:overlay val="false"/>
          <c:spPr>
            <a:noFill/>
            <a:ln>
              <a:noFill/>
            </a:ln>
            <a:effectLst/>
          </c:spPr>
        </c:title>
        <c:numFmt formatCode="0_ " sourceLinked="false"/>
        <c:majorTickMark val="none"/>
        <c:minorTickMark val="none"/>
        <c:tickLblPos val="nextTo"/>
        <c:spPr>
          <a:noFill/>
          <a:ln>
            <a:solidFill>
              <a:schemeClr val="tx1"/>
            </a:solid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838628879"/>
        <c:crosses val="autoZero"/>
        <c:crossBetween val="between"/>
      </c:valAx>
      <c:spPr>
        <a:noFill/>
        <a:ln>
          <a:solidFill>
            <a:schemeClr val="tx1"/>
          </a:solidFill>
        </a:ln>
        <a:effectLst/>
      </c:spPr>
    </c:plotArea>
    <c:legend>
      <c:legendPos val="t"/>
      <c:layout>
        <c:manualLayout>
          <c:xMode val="edge"/>
          <c:yMode val="edge"/>
          <c:x val="0.690591734450013"/>
          <c:y val="0.0453514739229025"/>
          <c:w val="0.253781960759914"/>
          <c:h val="0.085034608769142"/>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round/>
    </a:ln>
    <a:effectLst/>
  </c:spPr>
  <c:txPr>
    <a:bodyPr/>
    <a:lstStyle/>
    <a:p>
      <a:pPr>
        <a:defRPr lang="zh-CN"/>
      </a:pPr>
    </a:p>
  </c:txPr>
  <c:externalData r:id="rId1">
    <c:autoUpdate val="false"/>
  </c:externalData>
</c:chartSpace>
</file>

<file path=word/charts/chart26.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134872703412073"/>
          <c:y val="0.0452953330422447"/>
          <c:w val="0.834571741032371"/>
          <c:h val="0.84695746276608"/>
        </c:manualLayout>
      </c:layout>
      <c:barChart>
        <c:barDir val="col"/>
        <c:grouping val="clustered"/>
        <c:varyColors val="false"/>
        <c:ser>
          <c:idx val="0"/>
          <c:order val="0"/>
          <c:tx>
            <c:strRef>
              <c:f>道路交通环境噪声!$A$9</c:f>
              <c:strCache>
                <c:ptCount val="1"/>
                <c:pt idx="0">
                  <c:v>昼间</c:v>
                </c:pt>
              </c:strCache>
            </c:strRef>
          </c:tx>
          <c:spPr>
            <a:solidFill>
              <a:schemeClr val="accent1"/>
            </a:solidFill>
            <a:ln>
              <a:noFill/>
            </a:ln>
            <a:effectLst/>
            <a:scene3d>
              <a:camera prst="orthographicFront"/>
              <a:lightRig rig="threePt" dir="t"/>
            </a:scene3d>
            <a:sp3d>
              <a:bevelT/>
              <a:bevelB/>
            </a:sp3d>
          </c:spPr>
          <c:invertIfNegative val="false"/>
          <c:dLbls>
            <c:dLbl>
              <c:idx val="0"/>
              <c:layout/>
              <c:tx>
                <c:rich>
                  <a:bodyPr rot="0" spcFirstLastPara="1"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68.4</a:t>
                    </a:r>
                    <a:endParaRPr lang="en-US" altLang="zh-CN"/>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1"/>
              <c:layout/>
              <c:tx>
                <c:rich>
                  <a:bodyPr rot="0" spcFirstLastPara="1"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65.4</a:t>
                    </a:r>
                    <a:endParaRPr lang="en-US" altLang="zh-CN"/>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2"/>
              <c:layout/>
              <c:tx>
                <c:rich>
                  <a:bodyPr rot="0" spcFirstLastPara="1"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65.7</a:t>
                    </a:r>
                    <a:endParaRPr lang="en-US" altLang="zh-CN"/>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dLbl>
              <c:idx val="3"/>
              <c:layout/>
              <c:tx>
                <c:rich>
                  <a:bodyPr rot="0" spcFirstLastPara="1"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66.3</a:t>
                    </a:r>
                    <a:endParaRPr lang="en-US" altLang="zh-CN"/>
                  </a:p>
                </c:rich>
              </c:tx>
              <c:dLblPos val="outEnd"/>
              <c:showLegendKey val="false"/>
              <c:showVal val="true"/>
              <c:showCatName val="false"/>
              <c:showSerName val="false"/>
              <c:showPercent val="false"/>
              <c:showBubbleSize val="false"/>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道路交通环境噪声!$B$8:$F$8</c:f>
              <c:strCache>
                <c:ptCount val="5"/>
                <c:pt idx="0">
                  <c:v>2017年</c:v>
                </c:pt>
                <c:pt idx="1">
                  <c:v>2018年</c:v>
                </c:pt>
                <c:pt idx="2">
                  <c:v>2019年</c:v>
                </c:pt>
                <c:pt idx="3">
                  <c:v>2020年</c:v>
                </c:pt>
                <c:pt idx="4">
                  <c:v>2021年</c:v>
                </c:pt>
              </c:strCache>
            </c:strRef>
          </c:cat>
          <c:val>
            <c:numRef>
              <c:f>道路交通环境噪声!$B$9:$F$9</c:f>
              <c:numCache>
                <c:formatCode>0.0_);[Red]\(0.0\)</c:formatCode>
                <c:ptCount val="5"/>
                <c:pt idx="0">
                  <c:v>67.1</c:v>
                </c:pt>
                <c:pt idx="1">
                  <c:v>65.85</c:v>
                </c:pt>
                <c:pt idx="2">
                  <c:v>66.1</c:v>
                </c:pt>
                <c:pt idx="3">
                  <c:v>65.9</c:v>
                </c:pt>
                <c:pt idx="4">
                  <c:v>64.4</c:v>
                </c:pt>
              </c:numCache>
            </c:numRef>
          </c:val>
        </c:ser>
        <c:ser>
          <c:idx val="1"/>
          <c:order val="1"/>
          <c:tx>
            <c:strRef>
              <c:f>道路交通环境噪声!$A$10</c:f>
              <c:strCache>
                <c:ptCount val="1"/>
                <c:pt idx="0">
                  <c:v>夜间</c:v>
                </c:pt>
              </c:strCache>
            </c:strRef>
          </c:tx>
          <c:spPr>
            <a:solidFill>
              <a:schemeClr val="accent2"/>
            </a:solidFill>
            <a:ln>
              <a:noFill/>
            </a:ln>
            <a:effectLst/>
            <a:scene3d>
              <a:camera prst="orthographicFront"/>
              <a:lightRig rig="threePt" dir="t"/>
            </a:scene3d>
            <a:sp3d>
              <a:bevelT/>
              <a:bevelB/>
            </a:sp3d>
          </c:spPr>
          <c:invertIfNegative val="false"/>
          <c:dLbls>
            <c:dLbl>
              <c:idx val="0"/>
              <c:layout>
                <c:manualLayout>
                  <c:x val="-0.00487510936132983"/>
                  <c:y val="0.0334030413882"/>
                </c:manualLayout>
              </c:layout>
              <c:tx>
                <c:rich>
                  <a:bodyPr rot="0" spcFirstLastPara="1"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61.3</a:t>
                    </a:r>
                    <a:endParaRPr lang="en-US" altLang="zh-CN"/>
                  </a:p>
                </c:rich>
              </c:tx>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1"/>
              <c:layout>
                <c:manualLayout>
                  <c:x val="-9.7331583552056e-5"/>
                  <c:y val="0.0214367937358852"/>
                </c:manualLayout>
              </c:layout>
              <c:tx>
                <c:rich>
                  <a:bodyPr rot="0" spcFirstLastPara="1"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59.7</a:t>
                    </a:r>
                    <a:endParaRPr lang="en-US" altLang="zh-CN"/>
                  </a:p>
                </c:rich>
              </c:tx>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2"/>
              <c:layout>
                <c:manualLayout>
                  <c:x val="0.00423600174978128"/>
                  <c:y val="0.0227901467211796"/>
                </c:manualLayout>
              </c:layout>
              <c:tx>
                <c:rich>
                  <a:bodyPr rot="0" spcFirstLastPara="1"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61.1</a:t>
                    </a:r>
                    <a:endParaRPr lang="en-US" altLang="zh-CN"/>
                  </a:p>
                </c:rich>
              </c:tx>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3"/>
              <c:layout>
                <c:manualLayout>
                  <c:x val="0.0014582239720034"/>
                  <c:y val="0.020083022920092"/>
                </c:manualLayout>
              </c:layout>
              <c:tx>
                <c:rich>
                  <a:bodyPr rot="0" spcFirstLastPara="1"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60.6</a:t>
                    </a:r>
                    <a:endParaRPr lang="en-US" altLang="zh-CN"/>
                  </a:p>
                </c:rich>
              </c:tx>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dLbl>
              <c:idx val="4"/>
              <c:layout>
                <c:manualLayout>
                  <c:x val="0.0014582239720034"/>
                  <c:y val="0.0168072318102715"/>
                </c:manualLayout>
              </c:layout>
              <c:tx>
                <c:rich>
                  <a:bodyPr rot="0" spcFirstLastPara="1"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r>
                      <a:rPr lang="en-US" altLang="zh-CN"/>
                      <a:t>59.7</a:t>
                    </a:r>
                    <a:endParaRPr lang="en-US" altLang="zh-CN"/>
                  </a:p>
                </c:rich>
              </c:tx>
              <c:dLblPos val="outEnd"/>
              <c:showLegendKey val="false"/>
              <c:showVal val="true"/>
              <c:showCatName val="fals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道路交通环境噪声!$B$8:$F$8</c:f>
              <c:strCache>
                <c:ptCount val="5"/>
                <c:pt idx="0">
                  <c:v>2017年</c:v>
                </c:pt>
                <c:pt idx="1">
                  <c:v>2018年</c:v>
                </c:pt>
                <c:pt idx="2">
                  <c:v>2019年</c:v>
                </c:pt>
                <c:pt idx="3">
                  <c:v>2020年</c:v>
                </c:pt>
                <c:pt idx="4">
                  <c:v>2021年</c:v>
                </c:pt>
              </c:strCache>
            </c:strRef>
          </c:cat>
          <c:val>
            <c:numRef>
              <c:f>道路交通环境噪声!$B$10:$F$10</c:f>
              <c:numCache>
                <c:formatCode>0.0_);[Red]\(0.0\)</c:formatCode>
                <c:ptCount val="5"/>
                <c:pt idx="0">
                  <c:v>61.35</c:v>
                </c:pt>
                <c:pt idx="1">
                  <c:v>60.175</c:v>
                </c:pt>
                <c:pt idx="2">
                  <c:v>60.3</c:v>
                </c:pt>
                <c:pt idx="3">
                  <c:v>59.7</c:v>
                </c:pt>
                <c:pt idx="4">
                  <c:v>58.9</c:v>
                </c:pt>
              </c:numCache>
            </c:numRef>
          </c:val>
        </c:ser>
        <c:dLbls>
          <c:showLegendKey val="false"/>
          <c:showVal val="true"/>
          <c:showCatName val="false"/>
          <c:showSerName val="false"/>
          <c:showPercent val="false"/>
          <c:showBubbleSize val="false"/>
        </c:dLbls>
        <c:gapWidth val="150"/>
        <c:axId val="552729600"/>
        <c:axId val="552739584"/>
      </c:barChart>
      <c:catAx>
        <c:axId val="552729600"/>
        <c:scaling>
          <c:orientation val="minMax"/>
        </c:scaling>
        <c:delete val="false"/>
        <c:axPos val="b"/>
        <c:numFmt formatCode="General" sourceLinked="tru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52739584"/>
        <c:crosses val="autoZero"/>
        <c:auto val="true"/>
        <c:lblAlgn val="ctr"/>
        <c:lblOffset val="0"/>
        <c:noMultiLvlLbl val="false"/>
      </c:catAx>
      <c:valAx>
        <c:axId val="552739584"/>
        <c:scaling>
          <c:orientation val="minMax"/>
          <c:max val="80"/>
          <c:min val="40"/>
        </c:scaling>
        <c:delete val="false"/>
        <c:axPos val="l"/>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zh-CN" sz="1050" b="0" i="0" baseline="0">
                    <a:effectLst/>
                  </a:rPr>
                  <a:t>平均等效声级</a:t>
                </a:r>
                <a:r>
                  <a:rPr lang="en-US" altLang="zh-CN" sz="1050" b="0" i="0" baseline="0">
                    <a:effectLst/>
                  </a:rPr>
                  <a:t>Leq (dB(A))</a:t>
                </a:r>
                <a:endParaRPr lang="zh-CN" altLang="zh-CN" sz="1050">
                  <a:effectLst/>
                </a:endParaRPr>
              </a:p>
            </c:rich>
          </c:tx>
          <c:layout>
            <c:manualLayout>
              <c:xMode val="edge"/>
              <c:yMode val="edge"/>
              <c:x val="0.0259166666666667"/>
              <c:y val="0.25730679498396"/>
            </c:manualLayout>
          </c:layout>
          <c:overlay val="false"/>
          <c:spPr>
            <a:noFill/>
            <a:ln>
              <a:noFill/>
            </a:ln>
            <a:effectLst/>
          </c:spPr>
        </c:title>
        <c:numFmt formatCode="0_ " sourceLinked="fals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52729600"/>
        <c:crosses val="autoZero"/>
        <c:crossBetween val="between"/>
        <c:majorUnit val="10"/>
      </c:valAx>
      <c:spPr>
        <a:noFill/>
        <a:ln>
          <a:solidFill>
            <a:schemeClr val="tx1"/>
          </a:solidFill>
        </a:ln>
        <a:effectLst/>
      </c:spPr>
    </c:plotArea>
    <c:legend>
      <c:legendPos val="b"/>
      <c:layout>
        <c:manualLayout>
          <c:xMode val="edge"/>
          <c:yMode val="edge"/>
          <c:x val="0.429444444444445"/>
          <c:y val="0.0857975926218117"/>
          <c:w val="0.198472003499563"/>
          <c:h val="0.0810887827135166"/>
        </c:manualLayout>
      </c:layout>
      <c:overlay val="false"/>
      <c:spPr>
        <a:noFill/>
        <a:ln>
          <a:noFill/>
        </a:ln>
        <a:effectLst/>
      </c:spPr>
      <c:txPr>
        <a:bodyPr rot="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27.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600" b="1" i="0" u="none" strike="noStrike" kern="1200" cap="all" baseline="0">
                <a:solidFill>
                  <a:schemeClr val="bg1"/>
                </a:solidFill>
                <a:latin typeface="+mn-lt"/>
                <a:ea typeface="+mn-ea"/>
                <a:cs typeface="+mn-cs"/>
              </a:defRPr>
            </a:pPr>
            <a:r>
              <a:rPr lang="zh-CN" altLang="en-US">
                <a:solidFill>
                  <a:schemeClr val="bg1"/>
                </a:solidFill>
              </a:rPr>
              <a:t>夜间</a:t>
            </a:r>
            <a:endParaRPr lang="zh-CN" altLang="en-US">
              <a:solidFill>
                <a:schemeClr val="bg1"/>
              </a:solidFill>
            </a:endParaRPr>
          </a:p>
        </c:rich>
      </c:tx>
      <c:layout>
        <c:manualLayout>
          <c:xMode val="edge"/>
          <c:yMode val="edge"/>
          <c:x val="0.480796927508401"/>
          <c:y val="0.403744880046811"/>
        </c:manualLayout>
      </c:layout>
      <c:overlay val="false"/>
      <c:spPr>
        <a:noFill/>
        <a:ln>
          <a:noFill/>
        </a:ln>
        <a:effectLst/>
      </c:spPr>
    </c:title>
    <c:autoTitleDeleted val="false"/>
    <c:plotArea>
      <c:layout>
        <c:manualLayout>
          <c:layoutTarget val="inner"/>
          <c:xMode val="edge"/>
          <c:yMode val="edge"/>
          <c:x val="0.0843937234681958"/>
          <c:y val="0.249049655595081"/>
          <c:w val="0.877614812070719"/>
          <c:h val="0.722390494049566"/>
        </c:manualLayout>
      </c:layout>
      <c:pieChart>
        <c:varyColors val="true"/>
        <c:ser>
          <c:idx val="0"/>
          <c:order val="0"/>
          <c:tx>
            <c:strRef>
              <c:f>道路交通环境噪声!$D$55</c:f>
              <c:strCache>
                <c:ptCount val="1"/>
                <c:pt idx="0">
                  <c:v>2021年</c:v>
                </c:pt>
              </c:strCache>
            </c:strRef>
          </c:tx>
          <c:explosion val="0"/>
          <c:dPt>
            <c:idx val="0"/>
            <c:bubble3D val="false"/>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false"/>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false"/>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false"/>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false"/>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0.11938451884585"/>
                  <c:y val="-0.0865985081297255"/>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bg1"/>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28904347826087"/>
                      <c:h val="0.140954719490648"/>
                    </c:manualLayout>
                  </c15:layout>
                </c:ext>
              </c:extLst>
            </c:dLbl>
            <c:dLbl>
              <c:idx val="1"/>
              <c:layout>
                <c:manualLayout>
                  <c:x val="0.216034565530485"/>
                  <c:y val="-0.275014628437683"/>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bg1"/>
                      </a:solidFill>
                      <a:latin typeface="+mn-lt"/>
                      <a:ea typeface="+mn-ea"/>
                      <a:cs typeface="+mn-cs"/>
                    </a:defRPr>
                  </a:pPr>
                </a:p>
              </c:txPr>
              <c:dLblPos val="outEnd"/>
              <c:showLegendKey val="false"/>
              <c:showVal val="true"/>
              <c:showCatName val="true"/>
              <c:showSerName val="false"/>
              <c:showPercent val="false"/>
              <c:showBubbleSize val="false"/>
              <c:extLst>
                <c:ext xmlns:c15="http://schemas.microsoft.com/office/drawing/2012/chart" uri="{CE6537A1-D6FC-4f65-9D91-7224C49458BB}">
                  <c15:layout/>
                </c:ext>
              </c:extLst>
            </c:dLbl>
            <c:dLbl>
              <c:idx val="2"/>
              <c:layout>
                <c:manualLayout>
                  <c:x val="0.129620739318291"/>
                  <c:y val="-0.140433001755413"/>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bg1"/>
                      </a:solidFill>
                      <a:latin typeface="+mn-lt"/>
                      <a:ea typeface="+mn-ea"/>
                      <a:cs typeface="+mn-cs"/>
                    </a:defRPr>
                  </a:pPr>
                </a:p>
              </c:txPr>
              <c:dLblPos val="outEnd"/>
              <c:showLegendKey val="false"/>
              <c:showVal val="true"/>
              <c:showCatName val="true"/>
              <c:showSerName val="false"/>
              <c:showPercent val="false"/>
              <c:showBubbleSize val="false"/>
              <c:extLst>
                <c:ext xmlns:c15="http://schemas.microsoft.com/office/drawing/2012/chart" uri="{CE6537A1-D6FC-4f65-9D91-7224C49458BB}">
                  <c15:layout/>
                </c:ext>
              </c:extLst>
            </c:dLbl>
            <c:dLbl>
              <c:idx val="3"/>
              <c:layout>
                <c:manualLayout>
                  <c:x val="0.182429188670187"/>
                  <c:y val="0.0292568753657109"/>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bg1"/>
                      </a:solidFill>
                      <a:latin typeface="+mn-lt"/>
                      <a:ea typeface="+mn-ea"/>
                      <a:cs typeface="+mn-cs"/>
                    </a:defRPr>
                  </a:pPr>
                </a:p>
              </c:txPr>
              <c:dLblPos val="outEnd"/>
              <c:showLegendKey val="false"/>
              <c:showVal val="true"/>
              <c:showCatName val="true"/>
              <c:showSerName val="false"/>
              <c:showPercent val="false"/>
              <c:showBubbleSize val="false"/>
              <c:extLst>
                <c:ext xmlns:c15="http://schemas.microsoft.com/office/drawing/2012/chart" uri="{CE6537A1-D6FC-4f65-9D91-7224C49458BB}">
                  <c15:layout/>
                </c:ext>
              </c:extLst>
            </c:dLbl>
            <c:dLbl>
              <c:idx val="4"/>
              <c:layout>
                <c:manualLayout>
                  <c:x val="0.155382341489599"/>
                  <c:y val="0.0936220011702751"/>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bg1"/>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318857142857143"/>
                      <c:h val="0.140954719490648"/>
                    </c:manualLayout>
                  </c15:layout>
                </c:ext>
              </c:extLst>
            </c:dLbl>
            <c:spPr>
              <a:noFill/>
              <a:ln>
                <a:noFill/>
              </a:ln>
              <a:effectLst/>
            </c:spPr>
            <c:txPr>
              <a:bodyPr rot="0" spcFirstLastPara="0" vertOverflow="ellipsis" vert="horz" wrap="square" lIns="38100" tIns="19050" rIns="38100" bIns="19050" anchor="ctr" anchorCtr="true"/>
              <a:lstStyle/>
              <a:p>
                <a:pPr>
                  <a:defRPr lang="zh-CN" sz="700" b="1" i="0" u="none" strike="noStrike" kern="1200" spc="0" baseline="0">
                    <a:solidFill>
                      <a:sysClr val="windowText" lastClr="000000"/>
                    </a:solidFill>
                    <a:latin typeface="+mn-lt"/>
                    <a:ea typeface="+mn-ea"/>
                    <a:cs typeface="+mn-cs"/>
                  </a:defRPr>
                </a:pPr>
              </a:p>
            </c:txPr>
            <c:dLblPos val="outEnd"/>
            <c:showLegendKey val="false"/>
            <c:showVal val="true"/>
            <c:showCatName val="tru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道路交通环境噪声!$A$56:$A$60</c:f>
              <c:strCache>
                <c:ptCount val="5"/>
                <c:pt idx="0">
                  <c:v>好</c:v>
                </c:pt>
                <c:pt idx="1">
                  <c:v>较好</c:v>
                </c:pt>
                <c:pt idx="2">
                  <c:v>一般</c:v>
                </c:pt>
                <c:pt idx="3">
                  <c:v>较差</c:v>
                </c:pt>
                <c:pt idx="4">
                  <c:v>差</c:v>
                </c:pt>
              </c:strCache>
            </c:strRef>
          </c:cat>
          <c:val>
            <c:numRef>
              <c:f>道路交通环境噪声!$D$56:$D$60</c:f>
              <c:numCache>
                <c:formatCode>0.0%</c:formatCode>
                <c:ptCount val="5"/>
                <c:pt idx="0">
                  <c:v>0.5</c:v>
                </c:pt>
                <c:pt idx="1">
                  <c:v>0.166666666666667</c:v>
                </c:pt>
                <c:pt idx="2">
                  <c:v>0.0666666666666667</c:v>
                </c:pt>
                <c:pt idx="3">
                  <c:v>0.133333333333333</c:v>
                </c:pt>
                <c:pt idx="4">
                  <c:v>0.133333333333333</c:v>
                </c:pt>
              </c:numCache>
            </c:numRef>
          </c:val>
        </c:ser>
        <c:dLbls>
          <c:showLegendKey val="false"/>
          <c:showVal val="false"/>
          <c:showCatName val="true"/>
          <c:showSerName val="false"/>
          <c:showPercent val="false"/>
          <c:showBubbleSize val="false"/>
          <c:showLeaderLines val="true"/>
        </c:dLbls>
        <c:firstSliceAng val="0"/>
      </c:pieChart>
      <c:spPr>
        <a:noFill/>
        <a:ln>
          <a:noFill/>
        </a:ln>
        <a:effectLst/>
      </c:spPr>
    </c:plotArea>
    <c:plotVisOnly val="true"/>
    <c:dispBlanksAs val="zero"/>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28.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600" b="1" i="0" u="none" strike="noStrike" kern="1200" cap="all" baseline="0">
                <a:solidFill>
                  <a:schemeClr val="bg1"/>
                </a:solidFill>
                <a:latin typeface="+mn-lt"/>
                <a:ea typeface="+mn-ea"/>
                <a:cs typeface="+mn-cs"/>
              </a:defRPr>
            </a:pPr>
            <a:r>
              <a:rPr lang="zh-CN" altLang="en-US">
                <a:solidFill>
                  <a:schemeClr val="bg1"/>
                </a:solidFill>
              </a:rPr>
              <a:t>昼间</a:t>
            </a:r>
            <a:endParaRPr lang="zh-CN" altLang="en-US">
              <a:solidFill>
                <a:schemeClr val="bg1"/>
              </a:solidFill>
            </a:endParaRPr>
          </a:p>
        </c:rich>
      </c:tx>
      <c:layout>
        <c:manualLayout>
          <c:xMode val="edge"/>
          <c:yMode val="edge"/>
          <c:x val="0.413586173787806"/>
          <c:y val="0.473961380924517"/>
        </c:manualLayout>
      </c:layout>
      <c:overlay val="false"/>
      <c:spPr>
        <a:noFill/>
        <a:ln>
          <a:noFill/>
        </a:ln>
        <a:effectLst/>
      </c:spPr>
    </c:title>
    <c:autoTitleDeleted val="false"/>
    <c:plotArea>
      <c:layout>
        <c:manualLayout>
          <c:layoutTarget val="inner"/>
          <c:xMode val="edge"/>
          <c:yMode val="edge"/>
          <c:x val="0.0441375816981111"/>
          <c:y val="0.199209833996028"/>
          <c:w val="0.907764769922242"/>
          <c:h val="0.774433176835926"/>
        </c:manualLayout>
      </c:layout>
      <c:pieChart>
        <c:varyColors val="true"/>
        <c:ser>
          <c:idx val="0"/>
          <c:order val="0"/>
          <c:tx>
            <c:strRef>
              <c:f>道路交通环境噪声!$D$38</c:f>
              <c:strCache>
                <c:ptCount val="1"/>
                <c:pt idx="0">
                  <c:v>2021年</c:v>
                </c:pt>
              </c:strCache>
            </c:strRef>
          </c:tx>
          <c:explosion val="0"/>
          <c:dPt>
            <c:idx val="0"/>
            <c:bubble3D val="false"/>
            <c:spPr>
              <a:solidFill>
                <a:schemeClr val="accent1"/>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1"/>
            <c:bubble3D val="false"/>
            <c:spPr>
              <a:solidFill>
                <a:schemeClr val="accent2"/>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2"/>
            <c:bubble3D val="false"/>
            <c:spPr>
              <a:solidFill>
                <a:schemeClr val="accent3"/>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3"/>
            <c:bubble3D val="false"/>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Pt>
            <c:idx val="4"/>
            <c:bubble3D val="false"/>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dPt>
          <c:dLbls>
            <c:dLbl>
              <c:idx val="0"/>
              <c:layout>
                <c:manualLayout>
                  <c:x val="-0.014402304368699"/>
                  <c:y val="-0.502879613717098"/>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bg1"/>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368894409937888"/>
                      <c:h val="0.140849135431105"/>
                    </c:manualLayout>
                  </c15:layout>
                </c:ext>
              </c:extLst>
            </c:dLbl>
            <c:dLbl>
              <c:idx val="1"/>
              <c:layout>
                <c:manualLayout>
                  <c:x val="-0.196684445889295"/>
                  <c:y val="-0.00392272498997894"/>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accent2"/>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324819971195391"/>
                      <c:h val="0.165038264307073"/>
                    </c:manualLayout>
                  </c15:layout>
                </c:ext>
              </c:extLst>
            </c:dLbl>
            <c:dLbl>
              <c:idx val="2"/>
              <c:layout>
                <c:manualLayout>
                  <c:x val="-0.147252788792664"/>
                  <c:y val="-0.07433135369489"/>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accent3"/>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320019203072492"/>
                      <c:h val="0.165038264307073"/>
                    </c:manualLayout>
                  </c15:layout>
                </c:ext>
              </c:extLst>
            </c:dLbl>
            <c:dLbl>
              <c:idx val="3"/>
              <c:layout>
                <c:manualLayout>
                  <c:x val="0.163796538154766"/>
                  <c:y val="-0.0896992761802961"/>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accent4"/>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manualLayout>
                      <c:w val="0.315218434949592"/>
                      <c:h val="0.165038264307073"/>
                    </c:manualLayout>
                  </c15:layout>
                </c:ext>
              </c:extLst>
            </c:dLbl>
            <c:dLbl>
              <c:idx val="4"/>
              <c:layout>
                <c:manualLayout>
                  <c:x val="0.234976430874609"/>
                  <c:y val="-0.00147896960510129"/>
                </c:manualLayout>
              </c:layout>
              <c:numFmt formatCode="General" sourceLinked="true"/>
              <c:spPr>
                <a:noFill/>
                <a:ln>
                  <a:noFill/>
                </a:ln>
                <a:effectLst/>
              </c:spPr>
              <c:txPr>
                <a:bodyPr rot="0" spcFirstLastPara="1" vertOverflow="ellipsis" vert="horz" wrap="square" lIns="38100" tIns="19050" rIns="38100" bIns="19050" anchor="ctr" anchorCtr="true">
                  <a:spAutoFit/>
                </a:bodyPr>
                <a:lstStyle/>
                <a:p>
                  <a:pPr>
                    <a:defRPr lang="zh-CN" sz="700" b="1" i="0" u="none" strike="noStrike" kern="1200" spc="0" baseline="0">
                      <a:solidFill>
                        <a:schemeClr val="accent5"/>
                      </a:solidFill>
                      <a:latin typeface="+mn-lt"/>
                      <a:ea typeface="+mn-ea"/>
                      <a:cs typeface="+mn-cs"/>
                    </a:defRPr>
                  </a:pPr>
                </a:p>
              </c:txPr>
              <c:dLblPos val="bestFit"/>
              <c:showLegendKey val="false"/>
              <c:showVal val="true"/>
              <c:showCatName val="true"/>
              <c:showSerName val="false"/>
              <c:showPercent val="false"/>
              <c:showBubbleSize val="false"/>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700" b="1" i="0" u="none" strike="noStrike" kern="1200" spc="0" baseline="0">
                    <a:solidFill>
                      <a:schemeClr val="accent1"/>
                    </a:solidFill>
                    <a:latin typeface="+mn-lt"/>
                    <a:ea typeface="+mn-ea"/>
                    <a:cs typeface="+mn-cs"/>
                  </a:defRPr>
                </a:pPr>
              </a:p>
            </c:txPr>
            <c:dLblPos val="outEnd"/>
            <c:showLegendKey val="false"/>
            <c:showVal val="true"/>
            <c:showCatName val="true"/>
            <c:showSerName val="false"/>
            <c:showPercent val="fals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道路交通环境噪声!$A$39:$A$43</c:f>
              <c:strCache>
                <c:ptCount val="5"/>
                <c:pt idx="0">
                  <c:v>好</c:v>
                </c:pt>
                <c:pt idx="1">
                  <c:v>较好</c:v>
                </c:pt>
                <c:pt idx="2">
                  <c:v>一般</c:v>
                </c:pt>
                <c:pt idx="3">
                  <c:v>较差</c:v>
                </c:pt>
                <c:pt idx="4">
                  <c:v>差</c:v>
                </c:pt>
              </c:strCache>
            </c:strRef>
          </c:cat>
          <c:val>
            <c:numRef>
              <c:f>道路交通环境噪声!$D$39:$D$43</c:f>
              <c:numCache>
                <c:formatCode>0.0%</c:formatCode>
                <c:ptCount val="5"/>
                <c:pt idx="0">
                  <c:v>1</c:v>
                </c:pt>
                <c:pt idx="1">
                  <c:v>0</c:v>
                </c:pt>
                <c:pt idx="2">
                  <c:v>0</c:v>
                </c:pt>
                <c:pt idx="3">
                  <c:v>0</c:v>
                </c:pt>
                <c:pt idx="4">
                  <c:v>0</c:v>
                </c:pt>
              </c:numCache>
            </c:numRef>
          </c:val>
        </c:ser>
        <c:dLbls>
          <c:showLegendKey val="false"/>
          <c:showVal val="false"/>
          <c:showCatName val="true"/>
          <c:showSerName val="false"/>
          <c:showPercent val="false"/>
          <c:showBubbleSize val="false"/>
          <c:showLeaderLines val="true"/>
        </c:dLbls>
        <c:firstSliceAng val="0"/>
      </c:pieChart>
      <c:spPr>
        <a:noFill/>
        <a:ln>
          <a:noFill/>
        </a:ln>
        <a:effectLst/>
      </c:spPr>
    </c:plotArea>
    <c:plotVisOnly val="true"/>
    <c:dispBlanksAs val="zero"/>
    <c:showDLblsOverMax val="false"/>
  </c:chart>
  <c:spPr>
    <a:solidFill>
      <a:schemeClr val="bg1"/>
    </a:solidFill>
    <a:ln w="9525" cap="flat" cmpd="sng" algn="ctr">
      <a:noFill/>
      <a:prstDash val="solid"/>
      <a:round/>
    </a:ln>
    <a:effectLst/>
  </c:spPr>
  <c:txPr>
    <a:bodyPr/>
    <a:lstStyle/>
    <a:p>
      <a:pPr>
        <a:defRPr lang="zh-CN"/>
      </a:pPr>
    </a:p>
  </c:txPr>
  <c:externalData r:id="rId1">
    <c:autoUpdate val="false"/>
  </c:externalData>
</c:chartSpace>
</file>

<file path=word/charts/chart29.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r>
              <a:rPr lang="zh-CN" altLang="en-US"/>
              <a:t>昼间</a:t>
            </a:r>
            <a:endParaRPr lang="zh-CN" altLang="en-US"/>
          </a:p>
        </c:rich>
      </c:tx>
      <c:layout>
        <c:manualLayout>
          <c:xMode val="edge"/>
          <c:yMode val="edge"/>
          <c:x val="0.136111111111111"/>
          <c:y val="0.095958564230778"/>
        </c:manualLayout>
      </c:layout>
      <c:overlay val="false"/>
      <c:spPr>
        <a:noFill/>
        <a:ln>
          <a:noFill/>
        </a:ln>
        <a:effectLst/>
      </c:spPr>
    </c:title>
    <c:autoTitleDeleted val="false"/>
    <c:plotArea>
      <c:layout>
        <c:manualLayout>
          <c:layoutTarget val="inner"/>
          <c:xMode val="edge"/>
          <c:yMode val="edge"/>
          <c:x val="0.126442038495188"/>
          <c:y val="0.0861114710612771"/>
          <c:w val="0.840224628171479"/>
          <c:h val="0.765703821146268"/>
        </c:manualLayout>
      </c:layout>
      <c:barChart>
        <c:barDir val="col"/>
        <c:grouping val="clustered"/>
        <c:varyColors val="false"/>
        <c:ser>
          <c:idx val="0"/>
          <c:order val="0"/>
          <c:tx>
            <c:strRef>
              <c:f>功能区环境噪声!$N$2</c:f>
              <c:strCache>
                <c:ptCount val="1"/>
                <c:pt idx="0">
                  <c:v>1类功能区</c:v>
                </c:pt>
              </c:strCache>
            </c:strRef>
          </c:tx>
          <c:spPr>
            <a:solidFill>
              <a:schemeClr val="accent1"/>
            </a:solidFill>
            <a:ln>
              <a:noFill/>
            </a:ln>
            <a:effectLst/>
            <a:scene3d>
              <a:camera prst="orthographicFront"/>
              <a:lightRig rig="threePt" dir="t"/>
            </a:scene3d>
            <a:sp3d>
              <a:bevelT/>
              <a:bevelB/>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功能区环境噪声!$M$3:$M$7</c:f>
              <c:strCache>
                <c:ptCount val="5"/>
                <c:pt idx="0">
                  <c:v>2017年</c:v>
                </c:pt>
                <c:pt idx="1">
                  <c:v>2018年</c:v>
                </c:pt>
                <c:pt idx="2">
                  <c:v>2019年</c:v>
                </c:pt>
                <c:pt idx="3">
                  <c:v>2020年</c:v>
                </c:pt>
                <c:pt idx="4">
                  <c:v>2021年</c:v>
                </c:pt>
              </c:strCache>
            </c:strRef>
          </c:cat>
          <c:val>
            <c:numRef>
              <c:f>功能区环境噪声!$N$3:$N$7</c:f>
              <c:numCache>
                <c:formatCode>General</c:formatCode>
                <c:ptCount val="5"/>
                <c:pt idx="0">
                  <c:v>51.2</c:v>
                </c:pt>
                <c:pt idx="1">
                  <c:v>54.1</c:v>
                </c:pt>
                <c:pt idx="2">
                  <c:v>55</c:v>
                </c:pt>
                <c:pt idx="3">
                  <c:v>48.9</c:v>
                </c:pt>
                <c:pt idx="4">
                  <c:v>48.9</c:v>
                </c:pt>
              </c:numCache>
            </c:numRef>
          </c:val>
        </c:ser>
        <c:ser>
          <c:idx val="1"/>
          <c:order val="1"/>
          <c:tx>
            <c:strRef>
              <c:f>功能区环境噪声!$O$2</c:f>
              <c:strCache>
                <c:ptCount val="1"/>
                <c:pt idx="0">
                  <c:v>2类功能区</c:v>
                </c:pt>
              </c:strCache>
            </c:strRef>
          </c:tx>
          <c:spPr>
            <a:solidFill>
              <a:schemeClr val="accent2"/>
            </a:solidFill>
            <a:ln>
              <a:noFill/>
            </a:ln>
            <a:effectLst/>
            <a:scene3d>
              <a:camera prst="orthographicFront"/>
              <a:lightRig rig="threePt" dir="t"/>
            </a:scene3d>
            <a:sp3d>
              <a:bevelT/>
              <a:bevelB/>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功能区环境噪声!$M$3:$M$7</c:f>
              <c:strCache>
                <c:ptCount val="5"/>
                <c:pt idx="0">
                  <c:v>2017年</c:v>
                </c:pt>
                <c:pt idx="1">
                  <c:v>2018年</c:v>
                </c:pt>
                <c:pt idx="2">
                  <c:v>2019年</c:v>
                </c:pt>
                <c:pt idx="3">
                  <c:v>2020年</c:v>
                </c:pt>
                <c:pt idx="4">
                  <c:v>2021年</c:v>
                </c:pt>
              </c:strCache>
            </c:strRef>
          </c:cat>
          <c:val>
            <c:numRef>
              <c:f>功能区环境噪声!$O$3:$O$7</c:f>
              <c:numCache>
                <c:formatCode>General</c:formatCode>
                <c:ptCount val="5"/>
                <c:pt idx="0">
                  <c:v>54.6</c:v>
                </c:pt>
                <c:pt idx="1">
                  <c:v>53</c:v>
                </c:pt>
                <c:pt idx="2">
                  <c:v>53.5</c:v>
                </c:pt>
                <c:pt idx="3">
                  <c:v>52.3</c:v>
                </c:pt>
                <c:pt idx="4">
                  <c:v>55.2</c:v>
                </c:pt>
              </c:numCache>
            </c:numRef>
          </c:val>
        </c:ser>
        <c:ser>
          <c:idx val="2"/>
          <c:order val="2"/>
          <c:tx>
            <c:strRef>
              <c:f>功能区环境噪声!$P$2</c:f>
              <c:strCache>
                <c:ptCount val="1"/>
                <c:pt idx="0">
                  <c:v>3类功能区</c:v>
                </c:pt>
              </c:strCache>
            </c:strRef>
          </c:tx>
          <c:spPr>
            <a:solidFill>
              <a:schemeClr val="accent3"/>
            </a:solidFill>
            <a:ln>
              <a:noFill/>
            </a:ln>
            <a:effectLst/>
            <a:scene3d>
              <a:camera prst="orthographicFront"/>
              <a:lightRig rig="threePt" dir="t"/>
            </a:scene3d>
            <a:sp3d>
              <a:bevelT/>
              <a:bevelB/>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功能区环境噪声!$M$3:$M$7</c:f>
              <c:strCache>
                <c:ptCount val="5"/>
                <c:pt idx="0">
                  <c:v>2017年</c:v>
                </c:pt>
                <c:pt idx="1">
                  <c:v>2018年</c:v>
                </c:pt>
                <c:pt idx="2">
                  <c:v>2019年</c:v>
                </c:pt>
                <c:pt idx="3">
                  <c:v>2020年</c:v>
                </c:pt>
                <c:pt idx="4">
                  <c:v>2021年</c:v>
                </c:pt>
              </c:strCache>
            </c:strRef>
          </c:cat>
          <c:val>
            <c:numRef>
              <c:f>功能区环境噪声!$P$3:$P$7</c:f>
              <c:numCache>
                <c:formatCode>General</c:formatCode>
                <c:ptCount val="5"/>
                <c:pt idx="0">
                  <c:v>55.7</c:v>
                </c:pt>
                <c:pt idx="1">
                  <c:v>56</c:v>
                </c:pt>
                <c:pt idx="2">
                  <c:v>55.8</c:v>
                </c:pt>
                <c:pt idx="3">
                  <c:v>53.7</c:v>
                </c:pt>
                <c:pt idx="4">
                  <c:v>54.2</c:v>
                </c:pt>
              </c:numCache>
            </c:numRef>
          </c:val>
        </c:ser>
        <c:dLbls>
          <c:showLegendKey val="false"/>
          <c:showVal val="true"/>
          <c:showCatName val="false"/>
          <c:showSerName val="false"/>
          <c:showPercent val="false"/>
          <c:showBubbleSize val="false"/>
        </c:dLbls>
        <c:gapWidth val="87"/>
        <c:axId val="554063360"/>
        <c:axId val="554064896"/>
      </c:barChart>
      <c:catAx>
        <c:axId val="554063360"/>
        <c:scaling>
          <c:orientation val="minMax"/>
        </c:scaling>
        <c:delete val="false"/>
        <c:axPos val="b"/>
        <c:numFmt formatCode="General" sourceLinked="tru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54064896"/>
        <c:crosses val="autoZero"/>
        <c:auto val="true"/>
        <c:lblAlgn val="ctr"/>
        <c:lblOffset val="100"/>
        <c:noMultiLvlLbl val="false"/>
      </c:catAx>
      <c:valAx>
        <c:axId val="554064896"/>
        <c:scaling>
          <c:orientation val="minMax"/>
          <c:max val="65"/>
          <c:min val="40"/>
        </c:scaling>
        <c:delete val="false"/>
        <c:axPos val="l"/>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zh-CN" sz="1050" b="0" i="0" baseline="0">
                    <a:effectLst/>
                  </a:rPr>
                  <a:t>平均等效声级</a:t>
                </a:r>
                <a:r>
                  <a:rPr lang="en-US" altLang="zh-CN" sz="1050" b="0" i="0" baseline="0">
                    <a:effectLst/>
                  </a:rPr>
                  <a:t>Leq (dB(A))</a:t>
                </a:r>
                <a:endParaRPr lang="zh-CN" altLang="zh-CN" sz="1050">
                  <a:effectLst/>
                </a:endParaRPr>
              </a:p>
            </c:rich>
          </c:tx>
          <c:layout>
            <c:manualLayout>
              <c:xMode val="edge"/>
              <c:yMode val="edge"/>
              <c:x val="0.00277777777777778"/>
              <c:y val="0.188198123346876"/>
            </c:manualLayout>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54063360"/>
        <c:crosses val="autoZero"/>
        <c:crossBetween val="between"/>
        <c:majorUnit val="5"/>
      </c:valAx>
      <c:spPr>
        <a:noFill/>
        <a:ln>
          <a:solidFill>
            <a:schemeClr val="tx1"/>
          </a:solidFill>
        </a:ln>
        <a:effectLst/>
      </c:spPr>
    </c:plotArea>
    <c:legend>
      <c:legendPos val="b"/>
      <c:layout>
        <c:manualLayout>
          <c:xMode val="edge"/>
          <c:yMode val="edge"/>
          <c:x val="0.228811679790026"/>
          <c:y val="0.130001676944303"/>
          <c:w val="0.702108923884514"/>
          <c:h val="0.0781255468066492"/>
        </c:manualLayout>
      </c:layout>
      <c:overlay val="false"/>
      <c:spPr>
        <a:noFill/>
        <a:ln>
          <a:noFill/>
        </a:ln>
        <a:effectLst/>
      </c:spPr>
      <c:txPr>
        <a:bodyPr rot="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bg1"/>
      </a:solidFill>
      <a:prstDash val="solid"/>
      <a:round/>
    </a:ln>
    <a:effectLst/>
  </c:spPr>
  <c:txPr>
    <a:bodyPr/>
    <a:lstStyle/>
    <a:p>
      <a:pPr>
        <a:defRPr lang="zh-CN"/>
      </a:pPr>
    </a:p>
  </c:txPr>
  <c:externalData r:id="rId1">
    <c:autoUpdate val="false"/>
  </c:externalData>
</c:chartSpace>
</file>

<file path=word/charts/chart30.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true"/>
          <a:lstStyle/>
          <a:p>
            <a:pPr>
              <a:defRPr lang="zh-CN" sz="1400" b="0" i="0" u="none" strike="noStrike" kern="1200" spc="0" baseline="0">
                <a:solidFill>
                  <a:schemeClr val="tx1">
                    <a:lumMod val="65000"/>
                    <a:lumOff val="35000"/>
                  </a:schemeClr>
                </a:solidFill>
                <a:latin typeface="+mn-lt"/>
                <a:ea typeface="+mn-ea"/>
                <a:cs typeface="+mn-cs"/>
              </a:defRPr>
            </a:pPr>
            <a:r>
              <a:rPr lang="zh-CN" altLang="en-US"/>
              <a:t>夜间</a:t>
            </a:r>
            <a:endParaRPr lang="zh-CN" altLang="en-US"/>
          </a:p>
        </c:rich>
      </c:tx>
      <c:layout>
        <c:manualLayout>
          <c:xMode val="edge"/>
          <c:yMode val="edge"/>
          <c:x val="0.136111111111111"/>
          <c:y val="0.0250375563345017"/>
        </c:manualLayout>
      </c:layout>
      <c:overlay val="false"/>
      <c:spPr>
        <a:noFill/>
        <a:ln>
          <a:noFill/>
        </a:ln>
        <a:effectLst/>
      </c:spPr>
    </c:title>
    <c:autoTitleDeleted val="false"/>
    <c:plotArea>
      <c:layout>
        <c:manualLayout>
          <c:layoutTarget val="inner"/>
          <c:xMode val="edge"/>
          <c:yMode val="edge"/>
          <c:x val="0.128303149606299"/>
          <c:y val="0.0386579869804707"/>
          <c:w val="0.838363517060367"/>
          <c:h val="0.808037252729488"/>
        </c:manualLayout>
      </c:layout>
      <c:barChart>
        <c:barDir val="col"/>
        <c:grouping val="clustered"/>
        <c:varyColors val="false"/>
        <c:ser>
          <c:idx val="0"/>
          <c:order val="0"/>
          <c:tx>
            <c:strRef>
              <c:f>功能区环境噪声!$S$2</c:f>
              <c:strCache>
                <c:ptCount val="1"/>
                <c:pt idx="0">
                  <c:v>1类功能区</c:v>
                </c:pt>
              </c:strCache>
            </c:strRef>
          </c:tx>
          <c:spPr>
            <a:solidFill>
              <a:schemeClr val="accent1"/>
            </a:solidFill>
            <a:ln>
              <a:noFill/>
            </a:ln>
            <a:effectLst/>
            <a:scene3d>
              <a:camera prst="orthographicFront"/>
              <a:lightRig rig="threePt" dir="t"/>
            </a:scene3d>
            <a:sp3d>
              <a:bevelT/>
              <a:bevelB/>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功能区环境噪声!$R$3:$R$7</c:f>
              <c:strCache>
                <c:ptCount val="5"/>
                <c:pt idx="0">
                  <c:v>2017年</c:v>
                </c:pt>
                <c:pt idx="1">
                  <c:v>2018年</c:v>
                </c:pt>
                <c:pt idx="2">
                  <c:v>2019年</c:v>
                </c:pt>
                <c:pt idx="3">
                  <c:v>2020年</c:v>
                </c:pt>
                <c:pt idx="4">
                  <c:v>2021年</c:v>
                </c:pt>
              </c:strCache>
            </c:strRef>
          </c:cat>
          <c:val>
            <c:numRef>
              <c:f>功能区环境噪声!$S$3:$S$7</c:f>
              <c:numCache>
                <c:formatCode>General</c:formatCode>
                <c:ptCount val="5"/>
                <c:pt idx="0">
                  <c:v>42.6</c:v>
                </c:pt>
                <c:pt idx="1">
                  <c:v>46.7</c:v>
                </c:pt>
                <c:pt idx="2">
                  <c:v>43.2</c:v>
                </c:pt>
                <c:pt idx="3">
                  <c:v>42.1</c:v>
                </c:pt>
                <c:pt idx="4">
                  <c:v>41.6</c:v>
                </c:pt>
              </c:numCache>
            </c:numRef>
          </c:val>
        </c:ser>
        <c:ser>
          <c:idx val="1"/>
          <c:order val="1"/>
          <c:tx>
            <c:strRef>
              <c:f>功能区环境噪声!$T$2</c:f>
              <c:strCache>
                <c:ptCount val="1"/>
                <c:pt idx="0">
                  <c:v>2类功能区</c:v>
                </c:pt>
              </c:strCache>
            </c:strRef>
          </c:tx>
          <c:spPr>
            <a:solidFill>
              <a:schemeClr val="accent2"/>
            </a:solidFill>
            <a:ln>
              <a:noFill/>
            </a:ln>
            <a:effectLst/>
            <a:scene3d>
              <a:camera prst="orthographicFront"/>
              <a:lightRig rig="threePt" dir="t"/>
            </a:scene3d>
            <a:sp3d>
              <a:bevelT/>
              <a:bevelB/>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功能区环境噪声!$R$3:$R$7</c:f>
              <c:strCache>
                <c:ptCount val="5"/>
                <c:pt idx="0">
                  <c:v>2017年</c:v>
                </c:pt>
                <c:pt idx="1">
                  <c:v>2018年</c:v>
                </c:pt>
                <c:pt idx="2">
                  <c:v>2019年</c:v>
                </c:pt>
                <c:pt idx="3">
                  <c:v>2020年</c:v>
                </c:pt>
                <c:pt idx="4">
                  <c:v>2021年</c:v>
                </c:pt>
              </c:strCache>
            </c:strRef>
          </c:cat>
          <c:val>
            <c:numRef>
              <c:f>功能区环境噪声!$T$3:$T$7</c:f>
              <c:numCache>
                <c:formatCode>General</c:formatCode>
                <c:ptCount val="5"/>
                <c:pt idx="0">
                  <c:v>47.2</c:v>
                </c:pt>
                <c:pt idx="1">
                  <c:v>48.1</c:v>
                </c:pt>
                <c:pt idx="2">
                  <c:v>46.9</c:v>
                </c:pt>
                <c:pt idx="3">
                  <c:v>42.9</c:v>
                </c:pt>
                <c:pt idx="4">
                  <c:v>47.3</c:v>
                </c:pt>
              </c:numCache>
            </c:numRef>
          </c:val>
        </c:ser>
        <c:ser>
          <c:idx val="2"/>
          <c:order val="2"/>
          <c:tx>
            <c:strRef>
              <c:f>功能区环境噪声!$U$2</c:f>
              <c:strCache>
                <c:ptCount val="1"/>
                <c:pt idx="0">
                  <c:v>3类功能区</c:v>
                </c:pt>
              </c:strCache>
            </c:strRef>
          </c:tx>
          <c:spPr>
            <a:solidFill>
              <a:schemeClr val="accent3"/>
            </a:solidFill>
            <a:ln>
              <a:noFill/>
            </a:ln>
            <a:effectLst/>
            <a:scene3d>
              <a:camera prst="orthographicFront"/>
              <a:lightRig rig="threePt" dir="t"/>
            </a:scene3d>
            <a:sp3d>
              <a:bevelT/>
              <a:bevelB/>
            </a:sp3d>
          </c:spPr>
          <c:invertIfNegative val="false"/>
          <c:dLbls>
            <c:spPr>
              <a:noFill/>
              <a:ln>
                <a:noFill/>
              </a:ln>
              <a:effectLst/>
            </c:spPr>
            <c:txPr>
              <a:bodyPr rot="0" spcFirstLastPara="1" vertOverflow="ellipsis" vert="horz" wrap="square" lIns="38100" tIns="19050" rIns="38100" bIns="19050" anchor="ctr" anchorCtr="true">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prstDash val="solid"/>
                      <a:round/>
                    </a:ln>
                    <a:effectLst/>
                  </c:spPr>
                </c15:leaderLines>
              </c:ext>
            </c:extLst>
          </c:dLbls>
          <c:cat>
            <c:strRef>
              <c:f>功能区环境噪声!$R$3:$R$7</c:f>
              <c:strCache>
                <c:ptCount val="5"/>
                <c:pt idx="0">
                  <c:v>2017年</c:v>
                </c:pt>
                <c:pt idx="1">
                  <c:v>2018年</c:v>
                </c:pt>
                <c:pt idx="2">
                  <c:v>2019年</c:v>
                </c:pt>
                <c:pt idx="3">
                  <c:v>2020年</c:v>
                </c:pt>
                <c:pt idx="4">
                  <c:v>2021年</c:v>
                </c:pt>
              </c:strCache>
            </c:strRef>
          </c:cat>
          <c:val>
            <c:numRef>
              <c:f>功能区环境噪声!$U$3:$U$7</c:f>
              <c:numCache>
                <c:formatCode>General</c:formatCode>
                <c:ptCount val="5"/>
                <c:pt idx="0">
                  <c:v>47.9</c:v>
                </c:pt>
                <c:pt idx="1">
                  <c:v>48.4</c:v>
                </c:pt>
                <c:pt idx="2">
                  <c:v>50.7</c:v>
                </c:pt>
                <c:pt idx="3">
                  <c:v>43.9</c:v>
                </c:pt>
                <c:pt idx="4">
                  <c:v>46.1</c:v>
                </c:pt>
              </c:numCache>
            </c:numRef>
          </c:val>
        </c:ser>
        <c:dLbls>
          <c:showLegendKey val="false"/>
          <c:showVal val="true"/>
          <c:showCatName val="false"/>
          <c:showSerName val="false"/>
          <c:showPercent val="false"/>
          <c:showBubbleSize val="false"/>
        </c:dLbls>
        <c:gapWidth val="87"/>
        <c:axId val="554129280"/>
        <c:axId val="554130816"/>
      </c:barChart>
      <c:catAx>
        <c:axId val="554129280"/>
        <c:scaling>
          <c:orientation val="minMax"/>
        </c:scaling>
        <c:delete val="false"/>
        <c:axPos val="b"/>
        <c:numFmt formatCode="General" sourceLinked="true"/>
        <c:majorTickMark val="none"/>
        <c:minorTickMark val="none"/>
        <c:tickLblPos val="nextTo"/>
        <c:spPr>
          <a:noFill/>
          <a:ln w="9525" cap="flat" cmpd="sng" algn="ctr">
            <a:solidFill>
              <a:schemeClr val="tx1"/>
            </a:solid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54130816"/>
        <c:crosses val="autoZero"/>
        <c:auto val="true"/>
        <c:lblAlgn val="ctr"/>
        <c:lblOffset val="100"/>
        <c:noMultiLvlLbl val="false"/>
      </c:catAx>
      <c:valAx>
        <c:axId val="554130816"/>
        <c:scaling>
          <c:orientation val="minMax"/>
          <c:min val="40"/>
        </c:scaling>
        <c:delete val="false"/>
        <c:axPos val="l"/>
        <c:title>
          <c:tx>
            <c:rich>
              <a:bodyPr rot="-5400000" spcFirstLastPara="1" vertOverflow="ellipsis" vert="horz" wrap="square" anchor="ctr" anchorCtr="true"/>
              <a:lstStyle/>
              <a:p>
                <a:pPr>
                  <a:defRPr lang="zh-CN" sz="1000" b="0" i="0" u="none" strike="noStrike" kern="1200" baseline="0">
                    <a:solidFill>
                      <a:schemeClr val="tx1">
                        <a:lumMod val="65000"/>
                        <a:lumOff val="35000"/>
                      </a:schemeClr>
                    </a:solidFill>
                    <a:latin typeface="+mn-lt"/>
                    <a:ea typeface="+mn-ea"/>
                    <a:cs typeface="+mn-cs"/>
                  </a:defRPr>
                </a:pPr>
                <a:r>
                  <a:rPr lang="zh-CN" altLang="zh-CN" sz="1050" b="0" i="0" baseline="0">
                    <a:effectLst/>
                  </a:rPr>
                  <a:t>平均等效声级</a:t>
                </a:r>
                <a:r>
                  <a:rPr lang="en-US" altLang="zh-CN" sz="1050" b="0" i="0" baseline="0">
                    <a:effectLst/>
                  </a:rPr>
                  <a:t>Leq (dB(A))</a:t>
                </a:r>
                <a:endParaRPr lang="zh-CN" altLang="zh-CN" sz="1050">
                  <a:effectLst/>
                </a:endParaRPr>
              </a:p>
            </c:rich>
          </c:tx>
          <c:layout/>
          <c:overlay val="false"/>
          <c:spPr>
            <a:noFill/>
            <a:ln>
              <a:noFill/>
            </a:ln>
            <a:effectLst/>
          </c:spPr>
        </c:title>
        <c:numFmt formatCode="General" sourceLinked="true"/>
        <c:majorTickMark val="none"/>
        <c:minorTickMark val="none"/>
        <c:tickLblPos val="nextTo"/>
        <c:spPr>
          <a:noFill/>
          <a:ln w="6350" cap="flat" cmpd="sng" algn="ctr">
            <a:noFill/>
            <a:prstDash val="solid"/>
            <a:round/>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554129280"/>
        <c:crosses val="autoZero"/>
        <c:crossBetween val="between"/>
        <c:majorUnit val="5"/>
      </c:valAx>
      <c:spPr>
        <a:noFill/>
        <a:ln>
          <a:solidFill>
            <a:schemeClr val="tx1"/>
          </a:solidFill>
        </a:ln>
        <a:effectLst/>
      </c:spPr>
    </c:plotArea>
    <c:plotVisOnly val="true"/>
    <c:dispBlanksAs val="gap"/>
    <c:showDLblsOverMax val="false"/>
  </c:chart>
  <c:spPr>
    <a:solidFill>
      <a:schemeClr val="bg1"/>
    </a:solidFill>
    <a:ln w="9525" cap="flat" cmpd="sng" algn="ctr">
      <a:solidFill>
        <a:schemeClr val="bg1"/>
      </a:solidFill>
      <a:prstDash val="solid"/>
      <a:round/>
    </a:ln>
    <a:effectLst/>
  </c:spPr>
  <c:txPr>
    <a:bodyPr/>
    <a:lstStyle/>
    <a:p>
      <a:pPr>
        <a:defRPr lang="zh-CN"/>
      </a:pPr>
    </a:p>
  </c:txPr>
  <c:externalData r:id="rId1">
    <c:autoUpdate val="false"/>
  </c:externalData>
</c:chartSpace>
</file>

<file path=word/charts/chart3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true"/>
    <c:plotArea>
      <c:layout>
        <c:manualLayout>
          <c:layoutTarget val="inner"/>
          <c:xMode val="edge"/>
          <c:yMode val="edge"/>
          <c:x val="0.0652698412698413"/>
          <c:y val="0.0509259259259259"/>
          <c:w val="0.906793650793651"/>
          <c:h val="0.736378681831438"/>
        </c:manualLayout>
      </c:layout>
      <c:barChart>
        <c:barDir val="col"/>
        <c:grouping val="clustered"/>
        <c:varyColors val="false"/>
        <c:ser>
          <c:idx val="0"/>
          <c:order val="0"/>
          <c:tx>
            <c:strRef>
              <c:f>Sheet1!$B$33</c:f>
              <c:strCache>
                <c:ptCount val="1"/>
                <c:pt idx="0">
                  <c:v>EI</c:v>
                </c:pt>
              </c:strCache>
            </c:strRef>
          </c:tx>
          <c:spPr>
            <a:solidFill>
              <a:srgbClr val="5B9BD5"/>
            </a:solidFill>
            <a:ln>
              <a:noFill/>
            </a:ln>
            <a:effectLst>
              <a:outerShdw blurRad="76200" dir="18900000" sy="23000" kx="-1200000" algn="bl" rotWithShape="0">
                <a:prstClr val="black">
                  <a:alpha val="20000"/>
                </a:prstClr>
              </a:outerShdw>
            </a:effectLst>
          </c:spPr>
          <c:invertIfNegative val="false"/>
          <c:dPt>
            <c:idx val="7"/>
            <c:invertIfNegative val="false"/>
            <c:bubble3D val="false"/>
            <c:spPr>
              <a:solidFill>
                <a:srgbClr val="5B9BD5"/>
              </a:solidFill>
              <a:ln>
                <a:solidFill>
                  <a:srgbClr val="00B050"/>
                </a:solidFill>
              </a:ln>
              <a:effectLst>
                <a:outerShdw blurRad="76200" dir="18900000" sy="23000" kx="-1200000" algn="bl" rotWithShape="0">
                  <a:prstClr val="black">
                    <a:alpha val="20000"/>
                  </a:prstClr>
                </a:outerShdw>
              </a:effectLst>
            </c:spPr>
          </c:dPt>
          <c:dPt>
            <c:idx val="13"/>
            <c:invertIfNegative val="false"/>
            <c:bubble3D val="false"/>
            <c:spPr>
              <a:solidFill>
                <a:srgbClr val="00B050"/>
              </a:solidFill>
              <a:ln>
                <a:noFill/>
              </a:ln>
              <a:effectLst>
                <a:outerShdw blurRad="76200" dir="18900000" sy="23000" kx="-1200000" algn="bl" rotWithShape="0">
                  <a:prstClr val="black">
                    <a:alpha val="20000"/>
                  </a:prstClr>
                </a:outerShdw>
              </a:effectLst>
            </c:spPr>
          </c:dPt>
          <c:dPt>
            <c:idx val="14"/>
            <c:invertIfNegative val="false"/>
            <c:bubble3D val="false"/>
          </c:dPt>
          <c:dLbls>
            <c:spPr>
              <a:noFill/>
              <a:ln>
                <a:noFill/>
              </a:ln>
              <a:effectLst/>
            </c:spPr>
            <c:txPr>
              <a:bodyPr rot="0" spcFirstLastPara="1" vertOverflow="ellipsis" vert="horz" wrap="square" lIns="38100" tIns="19050" rIns="38100" bIns="19050" anchor="ctr" anchorCtr="true">
                <a:spAutoFit/>
              </a:bodyPr>
              <a:lstStyle/>
              <a:p>
                <a:pPr>
                  <a:defRPr lang="zh-CN" sz="800" b="1" i="0" u="none" strike="noStrike" kern="1200" baseline="0">
                    <a:solidFill>
                      <a:schemeClr val="lt1"/>
                    </a:solidFill>
                    <a:latin typeface="+mn-lt"/>
                    <a:ea typeface="+mn-ea"/>
                    <a:cs typeface="+mn-cs"/>
                  </a:defRPr>
                </a:pPr>
              </a:p>
            </c:txPr>
            <c:dLblPos val="inEnd"/>
            <c:showLegendKey val="false"/>
            <c:showVal val="true"/>
            <c:showCatName val="false"/>
            <c:showSerName val="false"/>
            <c:showPercent val="false"/>
            <c:showBubbleSize val="false"/>
            <c:showLeaderLines val="false"/>
            <c:extLst>
              <c:ext xmlns:c15="http://schemas.microsoft.com/office/drawing/2012/chart" uri="{CE6537A1-D6FC-4f65-9D91-7224C49458BB}">
                <c15:layout/>
                <c15:showLeaderLines val="true"/>
                <c15:leaderLines>
                  <c:spPr>
                    <a:ln w="9525">
                      <a:solidFill>
                        <a:schemeClr val="dk1">
                          <a:lumMod val="50000"/>
                          <a:lumOff val="50000"/>
                        </a:schemeClr>
                      </a:solidFill>
                    </a:ln>
                    <a:effectLst/>
                  </c:spPr>
                </c15:leaderLines>
              </c:ext>
            </c:extLst>
          </c:dLbls>
          <c:cat>
            <c:strRef>
              <c:f>Sheet1!$A$34:$A$50</c:f>
              <c:strCache>
                <c:ptCount val="17"/>
                <c:pt idx="0">
                  <c:v>静安区</c:v>
                </c:pt>
                <c:pt idx="1">
                  <c:v>黄浦区</c:v>
                </c:pt>
                <c:pt idx="2">
                  <c:v>虹口区</c:v>
                </c:pt>
                <c:pt idx="3">
                  <c:v>杨浦区</c:v>
                </c:pt>
                <c:pt idx="4">
                  <c:v>徐汇区</c:v>
                </c:pt>
                <c:pt idx="5">
                  <c:v>普陀区</c:v>
                </c:pt>
                <c:pt idx="6">
                  <c:v>长宁区</c:v>
                </c:pt>
                <c:pt idx="7">
                  <c:v>宝山区</c:v>
                </c:pt>
                <c:pt idx="8">
                  <c:v>闵行区</c:v>
                </c:pt>
                <c:pt idx="9">
                  <c:v>嘉定区</c:v>
                </c:pt>
                <c:pt idx="10">
                  <c:v>浦东新区</c:v>
                </c:pt>
                <c:pt idx="11">
                  <c:v>松江区</c:v>
                </c:pt>
                <c:pt idx="12">
                  <c:v>奉贤区</c:v>
                </c:pt>
                <c:pt idx="13">
                  <c:v>青浦区</c:v>
                </c:pt>
                <c:pt idx="14">
                  <c:v>金山区</c:v>
                </c:pt>
                <c:pt idx="15">
                  <c:v>崇明区</c:v>
                </c:pt>
                <c:pt idx="16">
                  <c:v>上海市</c:v>
                </c:pt>
              </c:strCache>
            </c:strRef>
          </c:cat>
          <c:val>
            <c:numRef>
              <c:f>Sheet1!$B$34:$B$50</c:f>
              <c:numCache>
                <c:formatCode>0.0_);[Red]\(0.0\)</c:formatCode>
                <c:ptCount val="17"/>
                <c:pt idx="0">
                  <c:v>36.2257352189284</c:v>
                </c:pt>
                <c:pt idx="1">
                  <c:v>36.689866457227</c:v>
                </c:pt>
                <c:pt idx="2">
                  <c:v>37.7261203743041</c:v>
                </c:pt>
                <c:pt idx="3">
                  <c:v>41.2321972931107</c:v>
                </c:pt>
                <c:pt idx="4">
                  <c:v>41.6020195293285</c:v>
                </c:pt>
                <c:pt idx="5">
                  <c:v>42.7389617524674</c:v>
                </c:pt>
                <c:pt idx="6">
                  <c:v>44.7464331444761</c:v>
                </c:pt>
                <c:pt idx="7">
                  <c:v>54.4357024143019</c:v>
                </c:pt>
                <c:pt idx="8">
                  <c:v>55.897541279717</c:v>
                </c:pt>
                <c:pt idx="9">
                  <c:v>58.8930942202975</c:v>
                </c:pt>
                <c:pt idx="10">
                  <c:v>59.3032862811256</c:v>
                </c:pt>
                <c:pt idx="11">
                  <c:v>63.5661632502344</c:v>
                </c:pt>
                <c:pt idx="12">
                  <c:v>64.1146929200928</c:v>
                </c:pt>
                <c:pt idx="13">
                  <c:v>64.5770073559041</c:v>
                </c:pt>
                <c:pt idx="14">
                  <c:v>65.1130781881499</c:v>
                </c:pt>
                <c:pt idx="15">
                  <c:v>67.4905372634995</c:v>
                </c:pt>
                <c:pt idx="16">
                  <c:v>62.3637064505741</c:v>
                </c:pt>
              </c:numCache>
            </c:numRef>
          </c:val>
        </c:ser>
        <c:dLbls>
          <c:showLegendKey val="false"/>
          <c:showVal val="true"/>
          <c:showCatName val="false"/>
          <c:showSerName val="false"/>
          <c:showPercent val="false"/>
          <c:showBubbleSize val="false"/>
        </c:dLbls>
        <c:gapWidth val="41"/>
        <c:axId val="182907008"/>
        <c:axId val="182907840"/>
      </c:barChart>
      <c:catAx>
        <c:axId val="182907008"/>
        <c:scaling>
          <c:orientation val="minMax"/>
        </c:scaling>
        <c:delete val="false"/>
        <c:axPos val="b"/>
        <c:numFmt formatCode="General" sourceLinked="tru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ysClr val="windowText" lastClr="000000"/>
                </a:solidFill>
                <a:effectLst/>
                <a:latin typeface="+mn-lt"/>
                <a:ea typeface="+mn-ea"/>
                <a:cs typeface="+mn-cs"/>
              </a:defRPr>
            </a:pPr>
          </a:p>
        </c:txPr>
        <c:crossAx val="182907840"/>
        <c:crosses val="autoZero"/>
        <c:auto val="true"/>
        <c:lblAlgn val="ctr"/>
        <c:lblOffset val="100"/>
        <c:noMultiLvlLbl val="false"/>
      </c:catAx>
      <c:valAx>
        <c:axId val="182907840"/>
        <c:scaling>
          <c:orientation val="minMax"/>
        </c:scaling>
        <c:delete val="true"/>
        <c:axPos val="l"/>
        <c:title>
          <c:tx>
            <c:rich>
              <a:bodyPr rot="-5400000" spcFirstLastPara="1" vertOverflow="ellipsis" vert="horz" wrap="square" anchor="ctr" anchorCtr="true"/>
              <a:lstStyle/>
              <a:p>
                <a:pPr>
                  <a:defRPr lang="zh-CN" sz="900" b="1" i="0" u="none" strike="noStrike" kern="1200" baseline="0">
                    <a:solidFill>
                      <a:sysClr val="windowText" lastClr="000000"/>
                    </a:solidFill>
                    <a:latin typeface="+mn-lt"/>
                    <a:ea typeface="+mn-ea"/>
                    <a:cs typeface="+mn-cs"/>
                  </a:defRPr>
                </a:pPr>
                <a:r>
                  <a:rPr lang="zh-CN" altLang="en-US"/>
                  <a:t>生态环境状况指数（</a:t>
                </a:r>
                <a:r>
                  <a:rPr lang="en-US" altLang="zh-CN"/>
                  <a:t>EI</a:t>
                </a:r>
                <a:r>
                  <a:rPr lang="zh-CN" altLang="en-US"/>
                  <a:t>）</a:t>
                </a:r>
                <a:endParaRPr lang="zh-CN" altLang="en-US"/>
              </a:p>
            </c:rich>
          </c:tx>
          <c:layout/>
          <c:overlay val="false"/>
          <c:spPr>
            <a:noFill/>
            <a:ln>
              <a:noFill/>
            </a:ln>
            <a:effectLst/>
          </c:spPr>
        </c:title>
        <c:numFmt formatCode="0.0_);[Red]\(0.0\)" sourceLinked="true"/>
        <c:majorTickMark val="none"/>
        <c:minorTickMark val="none"/>
        <c:tickLblPos val="nextTo"/>
        <c:txPr>
          <a:bodyPr rot="-60000000" spcFirstLastPara="0" vertOverflow="ellipsis" vert="horz" wrap="square" anchor="ctr" anchorCtr="true"/>
          <a:lstStyle/>
          <a:p>
            <a:pPr>
              <a:defRPr lang="zh-CN" sz="900" b="0" i="0" u="none" strike="noStrike" kern="1200" baseline="0">
                <a:solidFill>
                  <a:schemeClr val="dk1">
                    <a:lumMod val="65000"/>
                    <a:lumOff val="35000"/>
                  </a:schemeClr>
                </a:solidFill>
                <a:latin typeface="+mn-lt"/>
                <a:ea typeface="+mn-ea"/>
                <a:cs typeface="+mn-cs"/>
              </a:defRPr>
            </a:pPr>
          </a:p>
        </c:txPr>
        <c:crossAx val="182907008"/>
        <c:crosses val="autoZero"/>
        <c:crossBetween val="between"/>
      </c:valAx>
      <c:spPr>
        <a:noFill/>
        <a:ln>
          <a:noFill/>
        </a:ln>
        <a:effectLst/>
      </c:spPr>
    </c:plotArea>
    <c:plotVisOnly val="true"/>
    <c:dispBlanksAs val="gap"/>
    <c:showDLblsOverMax val="false"/>
  </c:chart>
  <c:spPr>
    <a:gradFill flip="none" rotWithShape="true">
      <a:gsLst>
        <a:gs pos="0">
          <a:schemeClr val="lt1"/>
        </a:gs>
        <a:gs pos="68000">
          <a:schemeClr val="lt1">
            <a:lumMod val="85000"/>
          </a:schemeClr>
        </a:gs>
        <a:gs pos="100000">
          <a:schemeClr val="lt1"/>
        </a:gs>
      </a:gsLst>
      <a:lin ang="5400000" scaled="true"/>
      <a:tileRect/>
    </a:gradFill>
    <a:ln w="9525" cap="flat" cmpd="sng" algn="ctr">
      <a:solidFill>
        <a:schemeClr val="dk1">
          <a:lumMod val="15000"/>
          <a:lumOff val="85000"/>
        </a:schemeClr>
      </a:solidFill>
      <a:round/>
    </a:ln>
    <a:effectLst/>
  </c:spPr>
  <c:txPr>
    <a:bodyPr/>
    <a:lstStyle/>
    <a:p>
      <a:pPr>
        <a:defRPr lang="zh-CN"/>
      </a:pPr>
    </a:p>
  </c:txPr>
  <c:externalData r:id="rId1">
    <c:autoUpdate val="false"/>
  </c:externalData>
</c:chartSpace>
</file>

<file path=word/charts/chart3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autoTitleDeleted val="true"/>
    <c:plotArea>
      <c:layout>
        <c:manualLayout>
          <c:layoutTarget val="inner"/>
          <c:xMode val="edge"/>
          <c:yMode val="edge"/>
          <c:x val="0.0789771918045128"/>
          <c:y val="0.0271996208807233"/>
          <c:w val="0.892599035585668"/>
          <c:h val="0.862090988626422"/>
        </c:manualLayout>
      </c:layout>
      <c:barChart>
        <c:barDir val="col"/>
        <c:grouping val="clustered"/>
        <c:varyColors val="false"/>
        <c:ser>
          <c:idx val="0"/>
          <c:order val="0"/>
          <c:tx>
            <c:strRef>
              <c:f>农村评价!$B$13</c:f>
              <c:strCache>
                <c:ptCount val="1"/>
                <c:pt idx="0">
                  <c:v>农村环境状况指数</c:v>
                </c:pt>
              </c:strCache>
            </c:strRef>
          </c:tx>
          <c:spPr>
            <a:solidFill>
              <a:schemeClr val="accent1"/>
            </a:solidFill>
            <a:ln>
              <a:noFill/>
            </a:ln>
            <a:effectLst/>
          </c:spPr>
          <c:invertIfNegative val="false"/>
          <c:dLbls>
            <c:delete val="true"/>
          </c:dLbls>
          <c:cat>
            <c:strRef>
              <c:f>农村评价!$A$14:$A$22</c:f>
              <c:strCache>
                <c:ptCount val="9"/>
                <c:pt idx="0">
                  <c:v>嘉定区</c:v>
                </c:pt>
                <c:pt idx="1">
                  <c:v>宝山区</c:v>
                </c:pt>
                <c:pt idx="2">
                  <c:v>闵行区</c:v>
                </c:pt>
                <c:pt idx="3">
                  <c:v>奉贤区</c:v>
                </c:pt>
                <c:pt idx="4">
                  <c:v>松江区</c:v>
                </c:pt>
                <c:pt idx="5">
                  <c:v>浦东新区</c:v>
                </c:pt>
                <c:pt idx="6">
                  <c:v>金山区</c:v>
                </c:pt>
                <c:pt idx="7">
                  <c:v>青浦区</c:v>
                </c:pt>
                <c:pt idx="8">
                  <c:v>崇明县</c:v>
                </c:pt>
              </c:strCache>
            </c:strRef>
          </c:cat>
          <c:val>
            <c:numRef>
              <c:f>农村评价!$B$14:$B$22</c:f>
              <c:numCache>
                <c:formatCode>0.0_);[Red]\(0.0\)</c:formatCode>
                <c:ptCount val="9"/>
                <c:pt idx="0">
                  <c:v>76.0833333333333</c:v>
                </c:pt>
                <c:pt idx="1">
                  <c:v>79</c:v>
                </c:pt>
                <c:pt idx="2">
                  <c:v>83</c:v>
                </c:pt>
                <c:pt idx="3">
                  <c:v>82.6666666666667</c:v>
                </c:pt>
                <c:pt idx="4">
                  <c:v>83</c:v>
                </c:pt>
                <c:pt idx="5">
                  <c:v>87</c:v>
                </c:pt>
                <c:pt idx="6">
                  <c:v>87</c:v>
                </c:pt>
                <c:pt idx="7">
                  <c:v>86.8974358974359</c:v>
                </c:pt>
                <c:pt idx="8">
                  <c:v>87</c:v>
                </c:pt>
              </c:numCache>
            </c:numRef>
          </c:val>
        </c:ser>
        <c:ser>
          <c:idx val="1"/>
          <c:order val="1"/>
          <c:tx>
            <c:strRef>
              <c:f>农村评价!$C$13</c:f>
              <c:strCache>
                <c:ptCount val="1"/>
                <c:pt idx="0">
                  <c:v>农村生态状况指数</c:v>
                </c:pt>
              </c:strCache>
            </c:strRef>
          </c:tx>
          <c:spPr>
            <a:solidFill>
              <a:schemeClr val="accent2"/>
            </a:solidFill>
            <a:ln>
              <a:noFill/>
            </a:ln>
            <a:effectLst/>
          </c:spPr>
          <c:invertIfNegative val="false"/>
          <c:dLbls>
            <c:delete val="true"/>
          </c:dLbls>
          <c:cat>
            <c:strRef>
              <c:f>农村评价!$A$14:$A$22</c:f>
              <c:strCache>
                <c:ptCount val="9"/>
                <c:pt idx="0">
                  <c:v>嘉定区</c:v>
                </c:pt>
                <c:pt idx="1">
                  <c:v>宝山区</c:v>
                </c:pt>
                <c:pt idx="2">
                  <c:v>闵行区</c:v>
                </c:pt>
                <c:pt idx="3">
                  <c:v>奉贤区</c:v>
                </c:pt>
                <c:pt idx="4">
                  <c:v>松江区</c:v>
                </c:pt>
                <c:pt idx="5">
                  <c:v>浦东新区</c:v>
                </c:pt>
                <c:pt idx="6">
                  <c:v>金山区</c:v>
                </c:pt>
                <c:pt idx="7">
                  <c:v>青浦区</c:v>
                </c:pt>
                <c:pt idx="8">
                  <c:v>崇明县</c:v>
                </c:pt>
              </c:strCache>
            </c:strRef>
          </c:cat>
          <c:val>
            <c:numRef>
              <c:f>农村评价!$C$14:$C$22</c:f>
              <c:numCache>
                <c:formatCode>0.0_);[Red]\(0.0\)</c:formatCode>
                <c:ptCount val="9"/>
                <c:pt idx="0">
                  <c:v>55.5850743502937</c:v>
                </c:pt>
                <c:pt idx="1">
                  <c:v>56.2451009807213</c:v>
                </c:pt>
                <c:pt idx="2">
                  <c:v>52.9385043892457</c:v>
                </c:pt>
                <c:pt idx="3">
                  <c:v>61.034632883235</c:v>
                </c:pt>
                <c:pt idx="4">
                  <c:v>60.8332974876211</c:v>
                </c:pt>
                <c:pt idx="5">
                  <c:v>58.3826148592978</c:v>
                </c:pt>
                <c:pt idx="6">
                  <c:v>60.6121324123515</c:v>
                </c:pt>
                <c:pt idx="7">
                  <c:v>63.0446003874388</c:v>
                </c:pt>
                <c:pt idx="8">
                  <c:v>69.4248268780965</c:v>
                </c:pt>
              </c:numCache>
            </c:numRef>
          </c:val>
        </c:ser>
        <c:ser>
          <c:idx val="2"/>
          <c:order val="2"/>
          <c:tx>
            <c:strRef>
              <c:f>农村评价!$D$13</c:f>
              <c:strCache>
                <c:ptCount val="1"/>
                <c:pt idx="0">
                  <c:v>农村环境质量综合指数</c:v>
                </c:pt>
              </c:strCache>
            </c:strRef>
          </c:tx>
          <c:spPr>
            <a:solidFill>
              <a:schemeClr val="accent3"/>
            </a:solidFill>
            <a:ln>
              <a:noFill/>
            </a:ln>
            <a:effectLst/>
          </c:spPr>
          <c:invertIfNegative val="false"/>
          <c:dLbls>
            <c:delete val="true"/>
          </c:dLbls>
          <c:cat>
            <c:strRef>
              <c:f>农村评价!$A$14:$A$22</c:f>
              <c:strCache>
                <c:ptCount val="9"/>
                <c:pt idx="0">
                  <c:v>嘉定区</c:v>
                </c:pt>
                <c:pt idx="1">
                  <c:v>宝山区</c:v>
                </c:pt>
                <c:pt idx="2">
                  <c:v>闵行区</c:v>
                </c:pt>
                <c:pt idx="3">
                  <c:v>奉贤区</c:v>
                </c:pt>
                <c:pt idx="4">
                  <c:v>松江区</c:v>
                </c:pt>
                <c:pt idx="5">
                  <c:v>浦东新区</c:v>
                </c:pt>
                <c:pt idx="6">
                  <c:v>金山区</c:v>
                </c:pt>
                <c:pt idx="7">
                  <c:v>青浦区</c:v>
                </c:pt>
                <c:pt idx="8">
                  <c:v>崇明县</c:v>
                </c:pt>
              </c:strCache>
            </c:strRef>
          </c:cat>
          <c:val>
            <c:numRef>
              <c:f>农村评价!$D$14:$D$22</c:f>
              <c:numCache>
                <c:formatCode>0.0_);[Red]\(0.0\)</c:formatCode>
                <c:ptCount val="9"/>
                <c:pt idx="0">
                  <c:v>67.8840297401175</c:v>
                </c:pt>
                <c:pt idx="1">
                  <c:v>69.8980403922885</c:v>
                </c:pt>
                <c:pt idx="2">
                  <c:v>70.9754017556983</c:v>
                </c:pt>
                <c:pt idx="3">
                  <c:v>74.013853153294</c:v>
                </c:pt>
                <c:pt idx="4">
                  <c:v>74.1333189950484</c:v>
                </c:pt>
                <c:pt idx="5">
                  <c:v>75.5530459437191</c:v>
                </c:pt>
                <c:pt idx="6">
                  <c:v>76.4448529649406</c:v>
                </c:pt>
                <c:pt idx="7">
                  <c:v>77.356301693437</c:v>
                </c:pt>
                <c:pt idx="8">
                  <c:v>79.9699307512386</c:v>
                </c:pt>
              </c:numCache>
            </c:numRef>
          </c:val>
        </c:ser>
        <c:dLbls>
          <c:showLegendKey val="false"/>
          <c:showVal val="false"/>
          <c:showCatName val="false"/>
          <c:showSerName val="false"/>
          <c:showPercent val="false"/>
          <c:showBubbleSize val="false"/>
        </c:dLbls>
        <c:gapWidth val="160"/>
        <c:axId val="838704712"/>
        <c:axId val="838705032"/>
      </c:barChart>
      <c:catAx>
        <c:axId val="838704712"/>
        <c:scaling>
          <c:orientation val="minMax"/>
        </c:scaling>
        <c:delete val="false"/>
        <c:axPos val="b"/>
        <c:numFmt formatCode="General" sourceLinked="true"/>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true"/>
          <a:lstStyle/>
          <a:p>
            <a:pPr>
              <a:defRPr lang="zh-CN" sz="900" b="0" i="0" u="none" strike="noStrike" kern="1200" baseline="0">
                <a:solidFill>
                  <a:sysClr val="windowText" lastClr="000000"/>
                </a:solidFill>
                <a:latin typeface="+mn-lt"/>
                <a:ea typeface="+mn-ea"/>
                <a:cs typeface="+mn-cs"/>
              </a:defRPr>
            </a:pPr>
          </a:p>
        </c:txPr>
        <c:crossAx val="838705032"/>
        <c:crosses val="autoZero"/>
        <c:auto val="true"/>
        <c:lblAlgn val="ctr"/>
        <c:lblOffset val="100"/>
        <c:noMultiLvlLbl val="false"/>
      </c:catAx>
      <c:valAx>
        <c:axId val="838705032"/>
        <c:scaling>
          <c:orientation val="minMax"/>
        </c:scaling>
        <c:delete val="false"/>
        <c:axPos val="l"/>
        <c:numFmt formatCode="0_ " sourceLinked="false"/>
        <c:majorTickMark val="none"/>
        <c:minorTickMark val="none"/>
        <c:tickLblPos val="nextTo"/>
        <c:spPr>
          <a:noFill/>
          <a:ln>
            <a:noFill/>
          </a:ln>
          <a:effectLst/>
        </c:spPr>
        <c:txPr>
          <a:bodyPr rot="-60000000" spcFirstLastPara="1"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crossAx val="838704712"/>
        <c:crosses val="autoZero"/>
        <c:crossBetween val="between"/>
      </c:valAx>
      <c:spPr>
        <a:noFill/>
        <a:ln>
          <a:solidFill>
            <a:schemeClr val="tx1"/>
          </a:solidFill>
        </a:ln>
        <a:effectLst/>
      </c:spPr>
    </c:plotArea>
    <c:legend>
      <c:legendPos val="t"/>
      <c:layout>
        <c:manualLayout>
          <c:xMode val="edge"/>
          <c:yMode val="edge"/>
          <c:x val="0.104145353923783"/>
          <c:y val="0.0324074074074074"/>
          <c:w val="0.817549085434088"/>
          <c:h val="0.0781255468066492"/>
        </c:manualLayout>
      </c:layout>
      <c:overlay val="false"/>
      <c:spPr>
        <a:noFill/>
        <a:ln>
          <a:noFill/>
        </a:ln>
        <a:effectLst/>
      </c:spPr>
      <c:txPr>
        <a:bodyPr rot="0" spcFirstLastPara="1" vertOverflow="ellipsis" vert="horz" wrap="square" anchor="ctr" anchorCtr="true"/>
        <a:lstStyle/>
        <a:p>
          <a:pPr>
            <a:defRPr lang="zh-CN" sz="900" b="0" i="0" u="none" strike="noStrike" kern="1200" baseline="0">
              <a:solidFill>
                <a:sysClr val="windowText" lastClr="000000"/>
              </a:solidFill>
              <a:latin typeface="+mn-lt"/>
              <a:ea typeface="+mn-ea"/>
              <a:cs typeface="+mn-cs"/>
            </a:defRPr>
          </a:pPr>
        </a:p>
      </c:txPr>
    </c:legend>
    <c:plotVisOnly val="true"/>
    <c:dispBlanksAs val="gap"/>
    <c:showDLblsOverMax val="false"/>
  </c:chart>
  <c:spPr>
    <a:solidFill>
      <a:schemeClr val="bg1"/>
    </a:solidFill>
    <a:ln w="9525" cap="flat" cmpd="sng" algn="ctr">
      <a:no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true">
        <a:gsLst>
          <a:gs pos="0">
            <a:schemeClr val="lt1"/>
          </a:gs>
          <a:gs pos="68000">
            <a:schemeClr val="lt1">
              <a:lumMod val="85000"/>
            </a:schemeClr>
          </a:gs>
          <a:gs pos="100000">
            <a:schemeClr val="lt1"/>
          </a:gs>
        </a:gsLst>
        <a:lin ang="5400000" scaled="true"/>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true">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true"/>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true"/>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true"/>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true"/>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32</Pages>
  <Words>1704</Words>
  <Characters>9714</Characters>
  <Lines>80</Lines>
  <Paragraphs>22</Paragraphs>
  <TotalTime>63</TotalTime>
  <ScaleCrop>false</ScaleCrop>
  <LinksUpToDate>false</LinksUpToDate>
  <CharactersWithSpaces>11396</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2020-05-19T18:24:00Z</dcterms:created>
  <dc:creator>HG45</dc:creator>
  <cp:lastModifiedBy>hg</cp:lastModifiedBy>
  <dcterms:modified xsi:type="dcterms:W3CDTF">2022-06-08T10:49:35Z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B3371EB13AF34C0C8CD2562ABFF5F4B7</vt:lpwstr>
  </property>
</Properties>
</file>