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06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2CE39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青浦区促进游戏电竞产业健康发展专项资金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管理办法</w:t>
      </w:r>
    </w:p>
    <w:p w14:paraId="793E6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（征求意见稿）</w:t>
      </w:r>
    </w:p>
    <w:p w14:paraId="01D2B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</w:p>
    <w:p w14:paraId="5B850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pacing w:val="9"/>
          <w:sz w:val="32"/>
          <w:szCs w:val="32"/>
        </w:rPr>
        <w:t>第一章</w:t>
      </w:r>
      <w:r>
        <w:rPr>
          <w:rFonts w:hint="eastAsia" w:ascii="黑体" w:hAnsi="黑体" w:eastAsia="黑体" w:cs="黑体"/>
          <w:b w:val="0"/>
          <w:bCs w:val="0"/>
          <w:color w:val="auto"/>
          <w:spacing w:val="9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2"/>
          <w:szCs w:val="32"/>
        </w:rPr>
        <w:t>总则与</w:t>
      </w:r>
      <w:r>
        <w:rPr>
          <w:rFonts w:hint="eastAsia" w:ascii="黑体" w:hAnsi="黑体" w:eastAsia="黑体" w:cs="黑体"/>
          <w:b w:val="0"/>
          <w:bCs w:val="0"/>
          <w:color w:val="auto"/>
          <w:spacing w:val="9"/>
          <w:sz w:val="32"/>
          <w:szCs w:val="32"/>
          <w:lang w:eastAsia="zh-CN"/>
        </w:rPr>
        <w:t>适用范围</w:t>
      </w:r>
    </w:p>
    <w:p w14:paraId="69FDD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为</w:t>
      </w:r>
      <w:r>
        <w:rPr>
          <w:rFonts w:hint="eastAsia" w:eastAsia="仿宋_GB2312"/>
          <w:color w:val="auto"/>
          <w:sz w:val="32"/>
          <w:szCs w:val="32"/>
          <w:lang w:eastAsia="zh-CN"/>
        </w:rPr>
        <w:t>推动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青浦区</w:t>
      </w:r>
      <w:r>
        <w:rPr>
          <w:rFonts w:hint="eastAsia" w:eastAsia="仿宋_GB2312"/>
          <w:color w:val="auto"/>
          <w:sz w:val="32"/>
          <w:szCs w:val="32"/>
          <w:lang w:eastAsia="zh-CN"/>
        </w:rPr>
        <w:t>游戏电竞行业健康发展，助力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上海</w:t>
      </w:r>
      <w:r>
        <w:rPr>
          <w:rFonts w:hint="eastAsia" w:eastAsia="仿宋_GB2312"/>
          <w:color w:val="auto"/>
          <w:sz w:val="32"/>
          <w:szCs w:val="32"/>
        </w:rPr>
        <w:t>“全球电竞之都”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“游戏创新之城”</w:t>
      </w:r>
      <w:r>
        <w:rPr>
          <w:rFonts w:hint="eastAsia" w:eastAsia="仿宋_GB2312"/>
          <w:color w:val="auto"/>
          <w:sz w:val="32"/>
          <w:szCs w:val="32"/>
        </w:rPr>
        <w:t>建设，打造上海游戏电竞产业重要承载区，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依据</w:t>
      </w:r>
      <w:r>
        <w:rPr>
          <w:rFonts w:hint="eastAsia" w:eastAsia="仿宋_GB2312"/>
          <w:color w:val="auto"/>
          <w:sz w:val="32"/>
          <w:szCs w:val="32"/>
        </w:rPr>
        <w:t>《关于促进上海电子竞技产业健康发展的若干意见》（沪委宣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〔2019〕163号）、《上海市支持游戏电竞产业健康发展三年行动方案》（沪委宣〔2024〕250号</w:t>
      </w:r>
      <w:r>
        <w:rPr>
          <w:rFonts w:hint="eastAsia" w:eastAsia="仿宋_GB2312"/>
          <w:color w:val="auto"/>
          <w:sz w:val="32"/>
          <w:szCs w:val="32"/>
        </w:rPr>
        <w:t>），制定本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管理办法</w:t>
      </w:r>
      <w:r>
        <w:rPr>
          <w:rFonts w:hint="eastAsia" w:eastAsia="仿宋_GB2312"/>
          <w:color w:val="auto"/>
          <w:sz w:val="32"/>
          <w:szCs w:val="32"/>
        </w:rPr>
        <w:t>。</w:t>
      </w:r>
    </w:p>
    <w:p w14:paraId="301B7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eastAsia="仿宋_GB2312"/>
          <w:color w:val="auto"/>
          <w:sz w:val="32"/>
          <w:szCs w:val="32"/>
        </w:rPr>
        <w:t>财政每年安排扶持资金，纳入区产业发展专项资金，用于全区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游戏电竞</w:t>
      </w:r>
      <w:r>
        <w:rPr>
          <w:rFonts w:hint="eastAsia" w:eastAsia="仿宋_GB2312"/>
          <w:color w:val="auto"/>
          <w:sz w:val="32"/>
          <w:szCs w:val="32"/>
        </w:rPr>
        <w:t>产业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健康</w:t>
      </w:r>
      <w:r>
        <w:rPr>
          <w:rFonts w:hint="eastAsia" w:eastAsia="仿宋_GB2312"/>
          <w:color w:val="auto"/>
          <w:sz w:val="32"/>
          <w:szCs w:val="32"/>
        </w:rPr>
        <w:t>发展，并按有关规定进行管理和使用。</w:t>
      </w:r>
    </w:p>
    <w:p w14:paraId="4021E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专项资金扶持的对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象为：1.工商税务注册登记在青浦，具有独立法人资格的经营主体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或队名含“青浦”的职业电竞俱乐部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。2.取得国内原创版权，具有网络游戏研发制作、运营服务或电子竞技等合法资质，3.经济规模合理，信用记录和经济效益良好。</w:t>
      </w:r>
    </w:p>
    <w:p w14:paraId="0924E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8BB6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7"/>
          <w:sz w:val="32"/>
          <w:szCs w:val="32"/>
        </w:rPr>
        <w:t>第二章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7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7"/>
          <w:sz w:val="32"/>
          <w:szCs w:val="32"/>
        </w:rPr>
        <w:t>支持类别与额度</w:t>
      </w:r>
    </w:p>
    <w:p w14:paraId="3F375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开发销售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原创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游戏电竞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产品</w:t>
      </w:r>
    </w:p>
    <w:p w14:paraId="1B0FA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原创游戏上线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eastAsia="zh-CN"/>
        </w:rPr>
        <w:t>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对经国家主管部门批准上线运营满一年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活跃用户10万人以上的原创网络游戏产品，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发行首年营业收入的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%给予游戏开发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万元的一次性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B1DC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原创游戏海外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公测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发行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eastAsia="zh-CN"/>
        </w:rPr>
        <w:t>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对上年度在苹果商店、谷歌商城等平台开展海外公开测试且用户数10000人（含）以上的全新网络游戏，给予游戏开发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每款10万元的补贴；对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海外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正式发行的优秀电竞游戏，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首年度境外实际授权结算收入的2%给予游戏开发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不超过100万元的一次性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C785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原创游戏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营收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eastAsia="zh-CN"/>
        </w:rPr>
        <w:t>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对上年度国内主营业务收入首次达到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000万元、5000万元、1亿元、5亿元、10亿元的游戏开发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，分别给予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万元、25万元、50万元、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00万元的一次性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A5C9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原创游戏影响力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对游戏产品入选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重大电竞赛事的开发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，给予研发投入10%不超过200万元的一次性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54FDB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开发销售电竞游戏衍生品</w:t>
      </w:r>
    </w:p>
    <w:p w14:paraId="2B05A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衍生项目开发补贴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对游戏、影视、综艺、主题公园等电竞游戏原创IP授权衍生开发项目，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开发投资额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0%给予不超过100万元的补贴。</w:t>
      </w:r>
    </w:p>
    <w:p w14:paraId="1EED1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衍生产品销售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自有游戏电竞品牌IP开发衍生的玩偶、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玩具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、服饰、日用品等单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产品，年度销售额超过1000万元的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销售金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额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%给予不超过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0万元一次性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A7AD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办公用房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购租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或场馆建设</w:t>
      </w:r>
    </w:p>
    <w:p w14:paraId="2C33A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购置补贴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购买自用办公用房面积≥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的新落地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，按购房金额的10%给予不超过200万元的一次性补贴。</w:t>
      </w:r>
    </w:p>
    <w:p w14:paraId="7A96D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租赁补贴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租赁自用办公用房面积≥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的新落地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，按上年度实际支付租金的30%给予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连续三年每年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不超过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0万元的补贴（需每年申报）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6E703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9.筹建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购买或租赁自用办公用房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的新落地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筹建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费用的30%给予不超过30万元的一次性补贴。</w:t>
      </w:r>
    </w:p>
    <w:p w14:paraId="66E60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建设（改建）专业电竞场馆补贴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鼓励利用现有体育场馆、会展中心、剧院等现有场馆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闲置空间依法改扩建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电竞场馆。对达到上海市A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B、C、D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级标准的专业电竞场馆，按总投资额的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给予投资建设（改建）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不超过300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200、100、50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万元的补贴。</w:t>
      </w:r>
    </w:p>
    <w:p w14:paraId="312D4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四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电竞赛事补贴</w:t>
      </w:r>
    </w:p>
    <w:p w14:paraId="57D2A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电竞场馆日常运营补贴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支持各运营主体充分利用好现有设施开展电竞赛事相关活动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年举办电竞赛事20场次（含）以上且50%以上场次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观众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规模超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5000人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的综合性场馆，给予场馆运营方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00万元的补助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年举办电竞赛事100场次（含）以上且50%以上场次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观众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规模超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500人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的专业性场馆，给予场馆运营方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0万元的补助。</w:t>
      </w:r>
    </w:p>
    <w:p w14:paraId="42C83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.举办（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为主场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组织承办总奖金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100万美元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国际顶尖品牌电竞职业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实际费用（除奖金外）的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0%给予承办方不超过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万元的一次性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0939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.举办（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全国联赛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为主场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组织承办总奖金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万元及以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上的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全国电竞职业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实际费用（除奖金外）的2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%给予承办方不超过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万元的一次性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34B42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.举办（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区域性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为主场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组织承办其他各级各类区域性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实际费用（除奖金外）的20%给予承办方不超过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万元的一次性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5D2C0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自主品牌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举办（承办）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影响力大、社会效益突出、示范效应显著的青浦原创本土IP自主品牌的电竞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联赛的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以上述一次性补贴金额为标准增加3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0%。</w:t>
      </w:r>
    </w:p>
    <w:p w14:paraId="19169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、游戏电竞产业展会、论坛等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活动</w:t>
      </w:r>
    </w:p>
    <w:p w14:paraId="50E3D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承办活动补贴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在青浦承办由国内外行业协会作为指导（支持）单位、具备一定规模（单场超1000人）和影响力的游戏电竞产业展会、论坛等活动，按实际投入费用的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0%给予承办方不超过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00万元的补贴。</w:t>
      </w:r>
    </w:p>
    <w:p w14:paraId="73E5A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参与活动补贴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参加国际性、国家级电竞行业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展会、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论坛等活动，宣传推介青浦电竞产业的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，按实际展位费的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0%给予不超过20万元的补贴。</w:t>
      </w:r>
    </w:p>
    <w:p w14:paraId="7E234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宣传推广补贴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对在主流媒体上宣传推广青浦游戏电竞赛事或展会、论坛等活动，吸引线下人流量超5000人次的游戏电竞经营主体，给予10万元的一次性补贴。</w:t>
      </w:r>
    </w:p>
    <w:p w14:paraId="61B35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.赛事配套活动产品专项销售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针对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游戏电竞赛事粉丝开发配套活动，按全年配套活动产品专项销售总额的2%给予不超过20万元的一次性补贴。</w:t>
      </w:r>
    </w:p>
    <w:p w14:paraId="78E3D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、获奖补贴</w:t>
      </w:r>
    </w:p>
    <w:p w14:paraId="0D2D4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游戏作品获奖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自主创作开发并获得国际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权威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游戏奖项的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，根据获奖等次给予每部作品不超过100万元的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融入青浦元素的游戏增加不超过40万元的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。自主创作开发并获得国内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权威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游戏奖项的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，根据获奖等次给予每部作品不超过50万元的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融入青浦元素的游戏增加不超过20万元的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2A56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奥运亚运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赛事补贴。对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奥运会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亚运会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国家队正式名单的俱乐部，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给予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40万元、20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万元的一次性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奥运会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比赛中获得冠、亚、季军的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俱乐部分别追加80万元、40万元、20万元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亚运会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比赛一次性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减半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22BD7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电竞赛事获奖补贴。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参加国际顶级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职业联赛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（总奖金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00万美元）的俱乐部，分别给予前三名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所获奖金额度25%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参加全国顶级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职业联赛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（总奖金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00万元）的俱乐部，分别给予前三名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所获奖金额度20%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参加其他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职业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电竞赛事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的俱乐部，分别给予前三名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所获奖金额度15%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41BA4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、金融扶持</w:t>
      </w:r>
    </w:p>
    <w:p w14:paraId="3DD26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.贷款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贴息补贴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对从银行贷款用于游戏电竞产业发展的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，按年度基准利率的50%给予不超过50万元的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66A31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28689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第三章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程序性安排</w:t>
      </w:r>
    </w:p>
    <w:p w14:paraId="564EA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一、操作流程</w:t>
      </w:r>
    </w:p>
    <w:p w14:paraId="6EEA1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成立专项资金评审小组，召开评审会议对经营主体申请项目进行评审，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根据申报单位资质和经营规模等综合贡献度确定扶持清单并公示。</w:t>
      </w:r>
    </w:p>
    <w:p w14:paraId="7AEB1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1.准备资料。含申请表、营业执照复印件、相关资质认证或评定证书复印件以及区文旅局要求提供的其他资料。</w:t>
      </w:r>
    </w:p>
    <w:p w14:paraId="51DED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2.申请。经营主体根据区文旅局官方网站发布的申报指南进行申报。根据要求填写《申请表》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连同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相关资料递交区文旅局。</w:t>
      </w:r>
    </w:p>
    <w:p w14:paraId="6DA31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3.复审。区文旅局收到经营主体《申请表》后进行材料初审，并将有关资料提交评审小组办公室。</w:t>
      </w:r>
    </w:p>
    <w:p w14:paraId="09B57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4.评审。专项资金评审小组办公室召开评审会议，联合评审经复审通过的项目。</w:t>
      </w:r>
    </w:p>
    <w:p w14:paraId="6C70C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5.公示。经评审通过的项目需在区文旅局官网上向社会公示。</w:t>
      </w:r>
    </w:p>
    <w:p w14:paraId="5FA0F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6.审批。经评审通过且公示无异议的项目，报区文旅局党组审批，通过后按规定拨付资金。</w:t>
      </w:r>
    </w:p>
    <w:p w14:paraId="653F4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7.区文旅局对专项资金使用情况进行绩效评价，会同相关部门按规定开展监督检查。</w:t>
      </w:r>
    </w:p>
    <w:p w14:paraId="5E5C9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二、不予安排或暂缓使用情形</w:t>
      </w:r>
    </w:p>
    <w:p w14:paraId="6F3DA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1.近两年因违法违规行为被执法部门查处、仲裁或司法部门处理或提供虚假信息或伪造申报材料的申请单位，不予安排本专项资金。</w:t>
      </w:r>
    </w:p>
    <w:p w14:paraId="6D8C6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2.近两年因违法违规行为被执法、仲裁或司法部门立案，正在接受调查的申请单位，暂缓使用本专项资金。</w:t>
      </w:r>
    </w:p>
    <w:p w14:paraId="59D2B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三、其他注意事项</w:t>
      </w:r>
    </w:p>
    <w:p w14:paraId="64C35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1.同一年度同一经营主体原则上只能“就高不就低”申报一项扶持资金，同一年度申报两项扶持资金的累计扶持金额不超过500万元。</w:t>
      </w:r>
    </w:p>
    <w:p w14:paraId="2C67D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2.同一项目可同时享受国家、市以及区级其他政策的，按“差额补足不重复”的原则执行。</w:t>
      </w:r>
    </w:p>
    <w:p w14:paraId="61FB9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3.项目组织评审、验收、绩效评价等管理费用，在专项资金总额中按不超过2%据实安排。</w:t>
      </w:r>
    </w:p>
    <w:p w14:paraId="6B7C7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4.本办法条款与区原有政策不一致的，以本办法为准。执行期间如遇上级重大政策变化将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相应调整。</w:t>
      </w:r>
    </w:p>
    <w:p w14:paraId="12FBD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5.对弄虚作假申报、挪用专项资金的经营主体，收回已拨付款项上缴财政，连续3年取消申报资格，并按规定追究相关法律责任。</w:t>
      </w:r>
    </w:p>
    <w:p w14:paraId="0A7C8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.本办法由上海市青浦区文化和旅游局负责解释。</w:t>
      </w:r>
    </w:p>
    <w:p w14:paraId="6C046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四、施行日期</w:t>
      </w:r>
    </w:p>
    <w:p w14:paraId="162F1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办法自2025年X月X日起施行，有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效期三年。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3A0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2589530</wp:posOffset>
              </wp:positionH>
              <wp:positionV relativeFrom="paragraph">
                <wp:posOffset>0</wp:posOffset>
              </wp:positionV>
              <wp:extent cx="3429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61FA50"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03.9pt;margin-top:0pt;height:144pt;width:27pt;mso-position-horizontal-relative:margin;z-index:251659264;mso-width-relative:page;mso-height-relative:page;" filled="f" stroked="f" coordsize="21600,21600" o:gfxdata="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RemvtQAAAAIAQAADwAAAAAAAAABACAAAAAiAAAAZHJz&#10;L2Rvd25yZXYueG1sUEsBAhQAFAAAAAgAh07iQA6byDrPAQAAmgMAAA4AAAAAAAAAAQAgAAAAI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61FA50"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14046"/>
    <w:rsid w:val="2B6F6581"/>
    <w:rsid w:val="57602D3D"/>
    <w:rsid w:val="5B7B4A7C"/>
    <w:rsid w:val="5DEF7EAA"/>
    <w:rsid w:val="648F3832"/>
    <w:rsid w:val="68E83EA5"/>
    <w:rsid w:val="6EE2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3138</Words>
  <Characters>3359</Characters>
  <Lines>0</Lines>
  <Paragraphs>0</Paragraphs>
  <TotalTime>10</TotalTime>
  <ScaleCrop>false</ScaleCrop>
  <LinksUpToDate>false</LinksUpToDate>
  <CharactersWithSpaces>3362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2025-06-12T00:49:00Z</dcterms:created>
  <dc:creator>周</dc:creator>
  <cp:lastModifiedBy>看破不争</cp:lastModifiedBy>
  <dcterms:modified xsi:type="dcterms:W3CDTF">2025-06-24T02:10:35Z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eyJoZGlkIjoiODU5YmZmZDNiZDU3NGIxY2Q0MDE2MzFiNzc4YmE4MTQiLCJ1c2VySWQiOiI1MDE3MzgzNTEifQ==</vt:lpwstr>
  </property>
  <property fmtid="{D5CDD505-2E9C-101B-9397-08002B2CF9AE}" pid="4" name="ICV">
    <vt:lpwstr>6B5F0537286B48E08C62A9ED288D9700_12</vt:lpwstr>
  </property>
</Properties>
</file>