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center"/>
        <w:rPr>
          <w:rFonts w:ascii="宋体" w:hAnsi="宋体" w:cs="宋体"/>
        </w:rPr>
      </w:pPr>
      <w:bookmarkStart w:id="0" w:name="_Toc40441229"/>
      <w:bookmarkStart w:id="1" w:name="_Toc74867451"/>
      <w:bookmarkStart w:id="2" w:name="_Toc108360651"/>
      <w:bookmarkStart w:id="3" w:name="_Toc110193548"/>
      <w:bookmarkStart w:id="4" w:name="_Toc111399249"/>
      <w:r>
        <w:rPr>
          <w:rFonts w:hint="eastAsia" w:ascii="宋体" w:hAnsi="宋体" w:cs="宋体"/>
        </w:rPr>
        <w:t>2021年青浦区区级中转及末端设施管理和监管项目支出绩效评价结果信息公开</w:t>
      </w:r>
    </w:p>
    <w:p>
      <w:pPr>
        <w:spacing w:after="156" w:afterLines="50" w:line="360" w:lineRule="auto"/>
        <w:ind w:firstLine="480" w:firstLineChars="200"/>
        <w:outlineLvl w:val="0"/>
        <w:rPr>
          <w:rFonts w:hint="eastAsia" w:ascii="宋体" w:hAnsi="宋体" w:cs="宋体"/>
          <w:sz w:val="24"/>
        </w:rPr>
      </w:pPr>
      <w:r>
        <w:rPr>
          <w:rFonts w:hint="eastAsia" w:ascii="宋体" w:hAnsi="宋体" w:cs="宋体"/>
          <w:sz w:val="24"/>
        </w:rPr>
        <w:t>为加强财政支出管理，强化支出责任，提高财政资金使用绩效，根据区委区政府《关于我区全面实施预算绩效管理的实施意见》（青委〔2019〕245号）文件精神，2022年，青浦区财政局组织对2021年青浦区区级中转及末端设施管理和监管项目支出实施绩效评价，并委托上海立信资产评估有限公司</w:t>
      </w:r>
      <w:r>
        <w:rPr>
          <w:rFonts w:hint="eastAsia" w:ascii="宋体" w:hAnsi="宋体" w:cs="宋体"/>
          <w:sz w:val="24"/>
          <w:lang w:val="en-US" w:eastAsia="zh-CN"/>
        </w:rPr>
        <w:t>具体</w:t>
      </w:r>
      <w:r>
        <w:rPr>
          <w:rFonts w:hint="eastAsia" w:ascii="宋体" w:hAnsi="宋体" w:cs="宋体"/>
          <w:sz w:val="24"/>
        </w:rPr>
        <w:t>实施。区绿容局和区财政局围绕预算管理、项目管理及财政内部管理等进行绩效评价结果落实应用。</w:t>
      </w:r>
    </w:p>
    <w:p>
      <w:pPr>
        <w:spacing w:after="156" w:afterLines="50" w:line="360" w:lineRule="auto"/>
        <w:ind w:firstLine="480" w:firstLineChars="200"/>
        <w:outlineLvl w:val="0"/>
        <w:rPr>
          <w:rFonts w:ascii="宋体" w:hAnsi="宋体" w:cs="宋体"/>
          <w:sz w:val="24"/>
        </w:rPr>
      </w:pPr>
      <w:bookmarkStart w:id="29" w:name="_GoBack"/>
      <w:bookmarkEnd w:id="29"/>
      <w:r>
        <w:rPr>
          <w:rFonts w:hint="eastAsia" w:ascii="宋体" w:hAnsi="宋体" w:cs="宋体"/>
          <w:sz w:val="24"/>
        </w:rPr>
        <w:t>一、项目概况</w:t>
      </w:r>
      <w:bookmarkEnd w:id="0"/>
      <w:bookmarkEnd w:id="1"/>
      <w:bookmarkEnd w:id="2"/>
      <w:bookmarkEnd w:id="3"/>
      <w:bookmarkEnd w:id="4"/>
    </w:p>
    <w:p>
      <w:pPr>
        <w:spacing w:after="156" w:afterLines="50" w:line="360" w:lineRule="auto"/>
        <w:ind w:firstLine="480" w:firstLineChars="200"/>
        <w:rPr>
          <w:rFonts w:ascii="宋体" w:hAnsi="宋体" w:cs="宋体"/>
          <w:sz w:val="24"/>
        </w:rPr>
      </w:pPr>
      <w:bookmarkStart w:id="5" w:name="_Toc108360654"/>
      <w:r>
        <w:rPr>
          <w:rFonts w:hint="eastAsia" w:ascii="宋体" w:hAnsi="宋体" w:cs="宋体"/>
          <w:sz w:val="24"/>
        </w:rPr>
        <w:t>为加强生活垃圾中转及末端处置设施的建设和运营监管，提高城市生活垃圾处理水平，青浦区自2013年起按照市行业要求及管理需要引入第三方专业机构实施计量监管。2017年始，针对青浦生活垃圾综合处置厂运营管理中存在的作业不规范和生产安全问题，以及行业监管标准、管理要求的不断提高，引入第三方专业团队对综合处置厂的作业规范性、生产安全性、环境污染控制性等方面进行专业监管和实时监控。2014年至2020年间，随着本区垃圾中转及末端处置设施的不断增加与调整完善，根据相关行业管理要求，陆续扩充垃圾填埋场、综合处置场保洁管理等项目内容，逐步形成对垃圾末端中转及处置设施的第三方监管和综合处置场日常管理两大部分内容。</w:t>
      </w:r>
    </w:p>
    <w:p>
      <w:pPr>
        <w:spacing w:after="156" w:afterLines="50" w:line="360" w:lineRule="auto"/>
        <w:ind w:firstLine="480" w:firstLineChars="200"/>
        <w:rPr>
          <w:rFonts w:ascii="宋体" w:hAnsi="宋体" w:cs="宋体"/>
          <w:sz w:val="24"/>
        </w:rPr>
      </w:pPr>
      <w:r>
        <w:rPr>
          <w:rFonts w:hint="eastAsia" w:ascii="宋体" w:hAnsi="宋体" w:cs="宋体"/>
          <w:sz w:val="24"/>
        </w:rPr>
        <w:t>截至2020年底，通过购买第三方服务方式开展专业化监管和管理的区级中转、末端处置设施场所共涉及生活垃圾中转站2个、综合处理厂（湿垃圾处理厂）1个、填埋场（已封场）1个，有效提升各类垃圾计量数据质量和行业监管能力，进一步规范了设施运营和管理，以满足对青浦区垃圾处理设施运营的专业化、规范化、全过程的管理要求。</w:t>
      </w:r>
    </w:p>
    <w:p>
      <w:pPr>
        <w:spacing w:after="156" w:afterLines="50" w:line="360" w:lineRule="auto"/>
        <w:ind w:firstLine="480" w:firstLineChars="200"/>
        <w:rPr>
          <w:rFonts w:ascii="宋体" w:hAnsi="宋体" w:cs="宋体"/>
          <w:sz w:val="24"/>
        </w:rPr>
      </w:pPr>
      <w:r>
        <w:rPr>
          <w:rFonts w:hint="eastAsia" w:ascii="宋体" w:hAnsi="宋体" w:cs="宋体"/>
          <w:sz w:val="24"/>
        </w:rPr>
        <w:t>2021年，伴随着建筑垃圾处理厂（建筑垃圾再利用中心）、香花桥“两网融合”集散场（可回收物）、青西转运站的投入使用，监管站点进一步增加。同年，根据上海市生态环境局《关于进一步完善本市排污单位自行监测监督管理工作的通知》（沪环监测〔2020〕113号）文件要求，增设填埋场地下水及土壤勘测项目内容。</w:t>
      </w:r>
    </w:p>
    <w:p>
      <w:pPr>
        <w:spacing w:after="156" w:afterLines="50" w:line="360" w:lineRule="auto"/>
        <w:ind w:firstLine="480" w:firstLineChars="200"/>
        <w:rPr>
          <w:rFonts w:ascii="宋体" w:hAnsi="宋体" w:cs="宋体"/>
          <w:sz w:val="24"/>
        </w:rPr>
      </w:pPr>
      <w:r>
        <w:rPr>
          <w:rFonts w:hint="eastAsia" w:ascii="宋体" w:hAnsi="宋体" w:cs="宋体"/>
          <w:sz w:val="24"/>
        </w:rPr>
        <w:t>上海市青浦区市容环境管理中心（以下简称“区环境管理中心”）作为上海市青浦区绿化和市容管理局（以下简称“区绿容局”）下辖事业单位，具体承担了对青浦区级中转、末端处置设施运营的行业监督管理职责，继续组织实施了“2021年区级中转及末端设施管理和监管项目”（以下简称“本项目”），项目包括第三方称重计量监管、末端处置第三方监管、固体废弃物第三方测评、残渣填埋坑后续管理、综合处置场日常管理、垃圾填埋场渗滤液处置、垃圾填埋场地下水及土壤勘测共7个子项目。除垃圾填埋场渗滤液处置子项未按计划完成，其余子项均按计划实施。</w:t>
      </w:r>
    </w:p>
    <w:p>
      <w:pPr>
        <w:spacing w:after="156" w:afterLines="50" w:line="360" w:lineRule="auto"/>
        <w:ind w:firstLine="480" w:firstLineChars="200"/>
        <w:rPr>
          <w:rFonts w:ascii="宋体" w:hAnsi="宋体" w:cs="宋体"/>
          <w:sz w:val="24"/>
        </w:rPr>
      </w:pPr>
      <w:r>
        <w:rPr>
          <w:rFonts w:hint="eastAsia" w:ascii="宋体" w:hAnsi="宋体" w:cs="宋体"/>
          <w:sz w:val="24"/>
        </w:rPr>
        <w:t>本项目预算单位为区环境管理中心，项目所需资金由区财政予以全额保障，项目年初预算金额为1,351.74万元，涉及项目合同金额约1,332万元，调整后预算金额为1,194.40万元，预算执行金额为825.66万元，预算执行率为69.13%，未完成当年度预算的主要原因是垃圾填埋场渗滤液处置子项未按计划完成，相应预算结余资金由财政收回。</w:t>
      </w:r>
    </w:p>
    <w:p>
      <w:pPr>
        <w:spacing w:after="156" w:afterLines="50" w:line="360" w:lineRule="auto"/>
        <w:ind w:firstLine="480" w:firstLineChars="200"/>
        <w:outlineLvl w:val="0"/>
        <w:rPr>
          <w:rFonts w:ascii="宋体" w:hAnsi="宋体" w:cs="宋体"/>
          <w:sz w:val="24"/>
        </w:rPr>
      </w:pPr>
      <w:bookmarkStart w:id="6" w:name="_Toc108360652"/>
      <w:bookmarkStart w:id="7" w:name="_Toc110193549"/>
      <w:bookmarkStart w:id="8" w:name="_Toc111399250"/>
      <w:r>
        <w:rPr>
          <w:rFonts w:hint="eastAsia" w:ascii="宋体" w:hAnsi="宋体" w:cs="宋体"/>
          <w:sz w:val="24"/>
        </w:rPr>
        <w:t>二、评价工作开展情况</w:t>
      </w:r>
      <w:bookmarkEnd w:id="6"/>
      <w:bookmarkEnd w:id="7"/>
      <w:bookmarkEnd w:id="8"/>
    </w:p>
    <w:p>
      <w:pPr>
        <w:spacing w:after="156" w:afterLines="50" w:line="360" w:lineRule="auto"/>
        <w:ind w:firstLine="480" w:firstLineChars="200"/>
        <w:rPr>
          <w:rFonts w:ascii="宋体" w:hAnsi="宋体" w:cs="宋体"/>
          <w:sz w:val="24"/>
        </w:rPr>
      </w:pPr>
      <w:bookmarkStart w:id="9" w:name="_Toc108360653"/>
      <w:r>
        <w:rPr>
          <w:rFonts w:hint="eastAsia" w:ascii="宋体" w:hAnsi="宋体" w:cs="宋体"/>
          <w:sz w:val="24"/>
        </w:rPr>
        <w:t>评价工作组自2022年2月接受本项目评价委托后，通过前期调研、方案制定、专家评审等环节，并根据方案评审会专家组意见，从项目立项、评价思路、评价指标等方面进行了调整，形成了本次绩效评价关注重点：一是关注采购服务的必要性和预算编制科学性；二是关注各方制度建立、执行情况及项目单位对第三方监督管理考核情况；三是项目单位是否全面完成监管任务及应用情况，了解监管整改落实情况，是否有效形成运营、监管、管理的管理闭环；四是关注项目成本经济性，分析成本构成合理性。</w:t>
      </w:r>
    </w:p>
    <w:p>
      <w:pPr>
        <w:spacing w:after="156" w:afterLines="50" w:line="360" w:lineRule="auto"/>
        <w:ind w:firstLine="480" w:firstLineChars="200"/>
        <w:rPr>
          <w:rFonts w:ascii="宋体" w:hAnsi="宋体" w:cs="宋体"/>
          <w:sz w:val="24"/>
        </w:rPr>
      </w:pPr>
      <w:r>
        <w:rPr>
          <w:rFonts w:hint="eastAsia" w:ascii="宋体" w:hAnsi="宋体" w:cs="宋体"/>
          <w:sz w:val="24"/>
        </w:rPr>
        <w:t>评价工作组结合评价关注重点，设计本项目绩效评价指标体系，</w:t>
      </w:r>
      <w:bookmarkStart w:id="10" w:name="_Hlk12891216"/>
      <w:bookmarkStart w:id="11" w:name="_Hlk12891099"/>
      <w:r>
        <w:rPr>
          <w:rFonts w:hint="eastAsia" w:ascii="宋体" w:hAnsi="宋体" w:cs="宋体"/>
          <w:sz w:val="24"/>
        </w:rPr>
        <w:t>通过对区环境管理中心开展访谈了解项目情况及实施成效等。对运营单位及相关管理单位开展现场调研、满意度调查等，以了解第三方执行过程规范情况。根据区财政要求，重点对相关项目成本构成情况进行调研、数据收集整理，在开展分析与比较基础上形成结论。同时，按照指标体系对相关数据、信息进行汇总分析，形成了绩效评价报告。</w:t>
      </w:r>
    </w:p>
    <w:bookmarkEnd w:id="10"/>
    <w:bookmarkEnd w:id="11"/>
    <w:p>
      <w:pPr>
        <w:spacing w:after="156" w:afterLines="50" w:line="360" w:lineRule="auto"/>
        <w:ind w:firstLine="480" w:firstLineChars="200"/>
        <w:outlineLvl w:val="0"/>
        <w:rPr>
          <w:rFonts w:ascii="宋体" w:hAnsi="宋体" w:cs="宋体"/>
          <w:sz w:val="24"/>
        </w:rPr>
      </w:pPr>
      <w:bookmarkStart w:id="12" w:name="_Toc111399251"/>
      <w:bookmarkStart w:id="13" w:name="_Toc110193550"/>
      <w:r>
        <w:rPr>
          <w:rFonts w:hint="eastAsia" w:ascii="宋体" w:hAnsi="宋体" w:cs="宋体"/>
          <w:sz w:val="24"/>
        </w:rPr>
        <w:t>三、评价结论和主要绩效</w:t>
      </w:r>
      <w:bookmarkEnd w:id="9"/>
      <w:bookmarkEnd w:id="12"/>
      <w:bookmarkEnd w:id="13"/>
    </w:p>
    <w:p>
      <w:pPr>
        <w:spacing w:after="156" w:afterLines="50" w:line="360" w:lineRule="auto"/>
        <w:ind w:firstLine="480" w:firstLineChars="200"/>
        <w:rPr>
          <w:rFonts w:ascii="宋体" w:hAnsi="宋体" w:cs="宋体"/>
          <w:sz w:val="24"/>
        </w:rPr>
      </w:pPr>
      <w:r>
        <w:rPr>
          <w:rFonts w:hint="eastAsia" w:ascii="宋体" w:hAnsi="宋体" w:cs="宋体"/>
          <w:sz w:val="24"/>
        </w:rPr>
        <w:t>本次绩效评价经综合评价，该项目的绩效评分结果为84.16分，绩效评级为“良”。其中：决策类指标权重分10分，绩效分值8.50分，得分率85.00%；过程类指标权重分30分，绩效分值23.45分，得分率78.17%；产出类指标权重分30分，绩效分值27.20分，得分率90.67%；效益类指标权重分30分，绩效分值25.01分，得分率83.37%。</w:t>
      </w:r>
    </w:p>
    <w:p>
      <w:pPr>
        <w:spacing w:after="156" w:afterLines="50" w:line="360" w:lineRule="auto"/>
        <w:ind w:firstLine="480" w:firstLineChars="200"/>
        <w:rPr>
          <w:rFonts w:ascii="宋体" w:hAnsi="宋体" w:cs="宋体"/>
          <w:sz w:val="24"/>
        </w:rPr>
      </w:pPr>
      <w:r>
        <w:rPr>
          <w:rFonts w:hint="eastAsia" w:ascii="宋体" w:hAnsi="宋体" w:cs="宋体"/>
          <w:sz w:val="24"/>
        </w:rPr>
        <w:t>2021年项目服务单位基本按照招标需求及委托合同完成委托任务：完成区级中转及末端处置设施运营的全年365天日常监管及垃圾计量工作，及时提交相关报告数据，保障了设施的规范运营；完成全年绿植及土层保持等残渣填埋坑后续管理，对填埋场地下水及土壤进行每月动态勘测，满足填埋坑管理规范要求；按计划对综合处置厂的监控系统进行日常维护、进厂道路和厂区道路进行每日保洁；完成全年6次对全区11个街镇固体废弃物的情况进行排查，及时有效地掌握信息并反馈至各街镇处理。</w:t>
      </w:r>
    </w:p>
    <w:p>
      <w:pPr>
        <w:spacing w:after="156" w:afterLines="50" w:line="360" w:lineRule="auto"/>
        <w:ind w:firstLine="480" w:firstLineChars="200"/>
        <w:rPr>
          <w:rFonts w:ascii="宋体" w:hAnsi="宋体" w:cs="宋体"/>
          <w:sz w:val="24"/>
        </w:rPr>
      </w:pPr>
      <w:r>
        <w:rPr>
          <w:rFonts w:hint="eastAsia" w:ascii="宋体" w:hAnsi="宋体" w:cs="宋体"/>
          <w:sz w:val="24"/>
        </w:rPr>
        <w:t>项目完成的质量总体较好，通过对项目实施的核查结果表明，项目立项依据充分、资金支付合规，管理制度较为健全，监管机制与各子项目内容适应性高，监管结果得到有效应用；项目成本控制良好有效，成本构成基本合理；通过几年来的项目实施，各区级中转及末端处置设施运营规范，设施运营等单位满意度达到83.36%。</w:t>
      </w:r>
    </w:p>
    <w:p>
      <w:pPr>
        <w:spacing w:after="156" w:afterLines="50" w:line="360" w:lineRule="auto"/>
        <w:ind w:firstLine="480" w:firstLineChars="200"/>
        <w:rPr>
          <w:rFonts w:ascii="宋体" w:hAnsi="宋体" w:cs="宋体"/>
          <w:sz w:val="24"/>
        </w:rPr>
      </w:pPr>
      <w:r>
        <w:rPr>
          <w:rFonts w:hint="eastAsia" w:ascii="宋体" w:hAnsi="宋体" w:cs="宋体"/>
          <w:sz w:val="24"/>
        </w:rPr>
        <w:t>但在项目的实施过程中，也存在一些不足之处，包括：渗滤液处置子项未按计划完成投入运营，项目管理细节有待进一步改善；日常监督考核方式不够合理，存在部分事项监管不到位的现象；部分合同付款条件不明确，合同细节管理环节仍存在偏差。</w:t>
      </w:r>
    </w:p>
    <w:p>
      <w:pPr>
        <w:spacing w:after="156" w:afterLines="50" w:line="360" w:lineRule="auto"/>
        <w:ind w:firstLine="480" w:firstLineChars="200"/>
        <w:outlineLvl w:val="0"/>
        <w:rPr>
          <w:rFonts w:ascii="宋体" w:hAnsi="宋体" w:cs="宋体"/>
          <w:sz w:val="24"/>
        </w:rPr>
      </w:pPr>
      <w:bookmarkStart w:id="14" w:name="_Toc111399252"/>
      <w:bookmarkStart w:id="15" w:name="_Toc110193551"/>
      <w:r>
        <w:rPr>
          <w:rFonts w:hint="eastAsia" w:ascii="宋体" w:hAnsi="宋体" w:cs="宋体"/>
          <w:sz w:val="24"/>
        </w:rPr>
        <w:t>四、主要经验、问题和建议</w:t>
      </w:r>
      <w:bookmarkEnd w:id="5"/>
      <w:bookmarkEnd w:id="14"/>
      <w:bookmarkEnd w:id="15"/>
    </w:p>
    <w:p>
      <w:pPr>
        <w:spacing w:after="156" w:afterLines="50" w:line="360" w:lineRule="auto"/>
        <w:ind w:firstLine="480" w:firstLineChars="200"/>
        <w:outlineLvl w:val="1"/>
        <w:rPr>
          <w:rFonts w:ascii="宋体" w:hAnsi="宋体" w:cs="宋体"/>
          <w:sz w:val="24"/>
        </w:rPr>
      </w:pPr>
      <w:bookmarkStart w:id="16" w:name="_Toc110193552"/>
      <w:bookmarkStart w:id="17" w:name="_Toc111399253"/>
      <w:bookmarkStart w:id="18" w:name="_Toc108360655"/>
      <w:r>
        <w:rPr>
          <w:rFonts w:hint="eastAsia" w:ascii="宋体" w:hAnsi="宋体" w:cs="宋体"/>
          <w:sz w:val="24"/>
        </w:rPr>
        <w:t>（一）主要经验及做法</w:t>
      </w:r>
      <w:bookmarkEnd w:id="16"/>
      <w:bookmarkEnd w:id="17"/>
      <w:bookmarkEnd w:id="18"/>
    </w:p>
    <w:p>
      <w:pPr>
        <w:spacing w:after="156" w:afterLines="50" w:line="360" w:lineRule="auto"/>
        <w:ind w:firstLine="480" w:firstLineChars="200"/>
        <w:rPr>
          <w:rFonts w:ascii="宋体" w:hAnsi="宋体" w:cs="宋体"/>
          <w:sz w:val="24"/>
        </w:rPr>
      </w:pPr>
      <w:r>
        <w:rPr>
          <w:rFonts w:hint="eastAsia" w:ascii="宋体" w:hAnsi="宋体" w:cs="宋体"/>
          <w:sz w:val="24"/>
        </w:rPr>
        <w:t>运营监管与项目考核监督相结合，有效扩大监管覆盖面，形成项目闭环管理</w:t>
      </w:r>
      <w:bookmarkStart w:id="19" w:name="_Toc108360656"/>
      <w:r>
        <w:rPr>
          <w:rFonts w:hint="eastAsia" w:ascii="宋体" w:hAnsi="宋体" w:cs="宋体"/>
          <w:sz w:val="24"/>
        </w:rPr>
        <w:t>。区环境管理中心通过建立月度绩效考核制度，采取由第三方监管单位介入考核办法，对运营方及相关服务方进行日常监督，督促各方按质按量完成日常各项工作。第三方监管单位及时反馈发现问题给运营方及相关服务方及时进行整改，同时对整改情况予以跟踪，形成问题的发现-整改-验收及项目运行、监督、纠偏的闭环管理，近两年整改完结率在九成以上，促进相关设施运营管理的进一步规范。</w:t>
      </w:r>
    </w:p>
    <w:p>
      <w:pPr>
        <w:spacing w:after="156" w:afterLines="50" w:line="360" w:lineRule="auto"/>
        <w:ind w:firstLine="480" w:firstLineChars="200"/>
        <w:outlineLvl w:val="1"/>
        <w:rPr>
          <w:rFonts w:ascii="宋体" w:hAnsi="宋体" w:cs="宋体"/>
          <w:sz w:val="24"/>
        </w:rPr>
      </w:pPr>
      <w:bookmarkStart w:id="20" w:name="_Toc110193553"/>
      <w:bookmarkStart w:id="21" w:name="_Toc111399254"/>
      <w:r>
        <w:rPr>
          <w:rFonts w:hint="eastAsia" w:ascii="宋体" w:hAnsi="宋体" w:cs="宋体"/>
          <w:sz w:val="24"/>
        </w:rPr>
        <w:t>（二）存在问题</w:t>
      </w:r>
      <w:bookmarkEnd w:id="19"/>
      <w:bookmarkEnd w:id="20"/>
      <w:bookmarkEnd w:id="21"/>
    </w:p>
    <w:p>
      <w:pPr>
        <w:spacing w:after="156" w:afterLines="50" w:line="360" w:lineRule="auto"/>
        <w:ind w:firstLine="480" w:firstLineChars="200"/>
        <w:outlineLvl w:val="2"/>
        <w:rPr>
          <w:rFonts w:ascii="宋体" w:hAnsi="宋体" w:cs="宋体"/>
          <w:sz w:val="24"/>
        </w:rPr>
      </w:pPr>
      <w:r>
        <w:rPr>
          <w:rFonts w:hint="eastAsia" w:ascii="宋体" w:hAnsi="宋体" w:cs="宋体"/>
          <w:sz w:val="24"/>
        </w:rPr>
        <w:t>1.预算编制合理性欠缺，预算执行率低，绩效管理不够完善</w:t>
      </w:r>
    </w:p>
    <w:p>
      <w:pPr>
        <w:spacing w:after="156" w:afterLines="50" w:line="360" w:lineRule="auto"/>
        <w:ind w:firstLine="480" w:firstLineChars="200"/>
        <w:rPr>
          <w:rFonts w:ascii="宋体" w:hAnsi="宋体" w:cs="宋体"/>
          <w:sz w:val="24"/>
        </w:rPr>
      </w:pPr>
      <w:r>
        <w:rPr>
          <w:rFonts w:hint="eastAsia" w:ascii="宋体" w:hAnsi="宋体" w:cs="宋体"/>
          <w:sz w:val="24"/>
        </w:rPr>
        <w:t>项目预算资金未有效结合当年资金支付计划，未合理考虑跨年度合同影响，过半数三级子项目由于合同支付进度等原因在年中预算调整幅度大于20%；调整后预算执行率69.13%，预算执行率偏低；预算测算服务成本时，计量监管与末端监管两个项目人工社保等交金计算比例口径不一，设备使用费用直接按设备价计入成本等不合理构成，预算编制合理性不够；项目单位完整申报了《绩效目标申报表》，但年度绩效目标内容较为宽泛，不能完整体现项目实际，绩效目标的细化度不高，如，缺少地下水监测、渗滤液处置子项的产出指标，难以对有关项目进行绩效管理和指导工作。</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2.项目实施计划管理不够到位，个别合同要素不明晰</w:t>
      </w:r>
    </w:p>
    <w:p>
      <w:pPr>
        <w:spacing w:after="156" w:afterLines="50" w:line="360" w:lineRule="auto"/>
        <w:ind w:firstLine="480" w:firstLineChars="200"/>
        <w:rPr>
          <w:rFonts w:ascii="宋体" w:hAnsi="宋体" w:cs="宋体"/>
          <w:sz w:val="24"/>
        </w:rPr>
      </w:pPr>
      <w:r>
        <w:rPr>
          <w:rFonts w:hint="eastAsia" w:ascii="宋体" w:hAnsi="宋体" w:cs="宋体"/>
          <w:sz w:val="24"/>
        </w:rPr>
        <w:t>项目中子项目——垃圾填埋场垃圾渗滤液处理于2020年8月经专家审定实施方案，以采购服务的形式实施。2021年1月发布政府采购意向，2021年6月开始招标确立服务方，合同金额278.90万元，项目服务合同约定有6个月的设备建设调试期，但至年底仍未如期完成处理设备建设。招投标工作开展迟滞，使得设备构建调试完成后的处置时间后延，2021年预算安排时工作计划为日处理量30吨，由于处置设施未到位实际渗滤液处置量为零；服务方未按计划完成处理设备建设调试，进度控制存在偏差；项目实施过程管理存在不足，当年计划管理不够到位。</w:t>
      </w:r>
    </w:p>
    <w:p>
      <w:pPr>
        <w:spacing w:after="156" w:afterLines="50" w:line="360" w:lineRule="auto"/>
        <w:ind w:firstLine="480" w:firstLineChars="200"/>
        <w:rPr>
          <w:rFonts w:ascii="宋体" w:hAnsi="宋体" w:cs="宋体"/>
          <w:sz w:val="24"/>
        </w:rPr>
      </w:pPr>
      <w:bookmarkStart w:id="22" w:name="_Toc108360657"/>
      <w:r>
        <w:rPr>
          <w:rFonts w:hint="eastAsia" w:ascii="宋体" w:hAnsi="宋体" w:cs="宋体"/>
          <w:sz w:val="24"/>
        </w:rPr>
        <w:t>项目合同的各项要素均有体现，但部分项目合同的支付方式未明确约定具体支付期限（时段）和支付比例，同时存在个别合同未明确服务期限，不利于项目预算管理以及款项的结算支付。</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3.</w:t>
      </w:r>
      <w:bookmarkStart w:id="23" w:name="_Hlk108907462"/>
      <w:r>
        <w:rPr>
          <w:rFonts w:hint="eastAsia" w:ascii="宋体" w:hAnsi="宋体" w:cs="宋体"/>
          <w:sz w:val="24"/>
        </w:rPr>
        <w:t>日常监督考核方式不够合理，部分事项监管不到位</w:t>
      </w:r>
      <w:bookmarkEnd w:id="23"/>
    </w:p>
    <w:p>
      <w:pPr>
        <w:spacing w:after="156" w:afterLines="50" w:line="360" w:lineRule="auto"/>
        <w:ind w:firstLine="480" w:firstLineChars="200"/>
        <w:rPr>
          <w:rFonts w:ascii="宋体" w:hAnsi="宋体" w:cs="宋体"/>
          <w:sz w:val="24"/>
        </w:rPr>
      </w:pPr>
      <w:r>
        <w:rPr>
          <w:rFonts w:hint="eastAsia" w:ascii="宋体" w:hAnsi="宋体" w:cs="宋体"/>
          <w:sz w:val="24"/>
        </w:rPr>
        <w:t>项目虽然有第三方监管单位对处置设施运营过程进行监管，以满足行业管理对计量、效率、环境、经济等监管要求，也建立了对设施运营方及管理服务方的定期考核机制，但目前对运营单位及服务单位的考核结果基本借助于第三方监管单位的月度考核结论，缺少区环境管理中心等环卫主管部门的考核意见，监督考核方式不够完整合理。同时，根据调研结果发现，2021年8月，上海市资源利用和垃圾分类管理事务中心在对香花桥转运站、西虹桥转运站运营工作检查中，发现运营和安全管理落实存在缺失，需进行整改，监管不够完全到位。</w:t>
      </w:r>
    </w:p>
    <w:p>
      <w:pPr>
        <w:spacing w:after="156" w:afterLines="50" w:line="360" w:lineRule="auto"/>
        <w:ind w:firstLine="480" w:firstLineChars="200"/>
        <w:outlineLvl w:val="1"/>
        <w:rPr>
          <w:rFonts w:ascii="宋体" w:hAnsi="宋体" w:cs="宋体"/>
          <w:sz w:val="24"/>
        </w:rPr>
      </w:pPr>
      <w:bookmarkStart w:id="24" w:name="_Toc111399255"/>
      <w:bookmarkStart w:id="25" w:name="_Toc110193554"/>
      <w:r>
        <w:rPr>
          <w:rFonts w:hint="eastAsia" w:ascii="宋体" w:hAnsi="宋体" w:cs="宋体"/>
          <w:sz w:val="24"/>
        </w:rPr>
        <w:t>（三）建议和改进举措</w:t>
      </w:r>
      <w:bookmarkEnd w:id="22"/>
      <w:bookmarkEnd w:id="24"/>
      <w:bookmarkEnd w:id="25"/>
    </w:p>
    <w:p>
      <w:pPr>
        <w:spacing w:after="156" w:afterLines="50" w:line="360" w:lineRule="auto"/>
        <w:ind w:firstLine="480" w:firstLineChars="200"/>
        <w:outlineLvl w:val="2"/>
        <w:rPr>
          <w:rFonts w:ascii="宋体" w:hAnsi="宋体" w:cs="宋体"/>
          <w:sz w:val="24"/>
        </w:rPr>
      </w:pPr>
      <w:r>
        <w:rPr>
          <w:rFonts w:hint="eastAsia" w:ascii="宋体" w:hAnsi="宋体" w:cs="宋体"/>
          <w:sz w:val="24"/>
        </w:rPr>
        <w:t>1.明确项目资金使用计划，合理安排预算，加强绩效管理</w:t>
      </w:r>
    </w:p>
    <w:p>
      <w:pPr>
        <w:spacing w:after="156" w:afterLines="50" w:line="360" w:lineRule="auto"/>
        <w:ind w:firstLine="480" w:firstLineChars="200"/>
        <w:rPr>
          <w:rFonts w:ascii="宋体" w:hAnsi="宋体" w:cs="宋体"/>
          <w:sz w:val="24"/>
        </w:rPr>
      </w:pPr>
      <w:r>
        <w:rPr>
          <w:rFonts w:hint="eastAsia" w:ascii="宋体" w:hAnsi="宋体" w:cs="宋体"/>
          <w:sz w:val="24"/>
        </w:rPr>
        <w:t>建议预算单位强化合同支付方式的明确性，严格把控合同在履约过程中支付条款的履行，完善项目实施计划和款项支付进度的匹配性，充分考虑各子项合同跨年度实施和资金支付的情况；预算测算依据做到充分、合理、客观，合理安排项目年度预算金额。同时，严格按绩效管理要求进行预算编制，并确保绩效目标指向明确、细化、量化、合理可行、内容匹配相当。</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2.完善项目实施计划管理，加强合同审核与管理</w:t>
      </w:r>
    </w:p>
    <w:p>
      <w:pPr>
        <w:spacing w:after="156" w:afterLines="50" w:line="360" w:lineRule="auto"/>
        <w:ind w:firstLine="480" w:firstLineChars="200"/>
        <w:rPr>
          <w:rFonts w:ascii="宋体" w:hAnsi="宋体" w:cs="宋体"/>
          <w:sz w:val="24"/>
        </w:rPr>
      </w:pPr>
      <w:r>
        <w:rPr>
          <w:rFonts w:hint="eastAsia" w:ascii="宋体" w:hAnsi="宋体" w:cs="宋体"/>
          <w:sz w:val="24"/>
        </w:rPr>
        <w:t>建议预算单位完善项目实施计划管理，按计划时间节点跟进项目实施进度，发现偏差及时纠正，避免项目拖延。在合同管理环节，加强合同审核与管理，确保合同要素的完整性和明确性，尤其是线下补充合同，明确款项支付条件、付款节点等，同时注重合同管理的严肃性。</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3.完善监督考核方式和机制，切实加强监管责任落实到位</w:t>
      </w:r>
    </w:p>
    <w:p>
      <w:pPr>
        <w:spacing w:after="156" w:afterLines="50" w:line="360" w:lineRule="auto"/>
        <w:ind w:firstLine="480" w:firstLineChars="200"/>
        <w:rPr>
          <w:rFonts w:ascii="宋体" w:hAnsi="宋体" w:cs="宋体"/>
          <w:sz w:val="24"/>
        </w:rPr>
      </w:pPr>
      <w:r>
        <w:rPr>
          <w:rFonts w:hint="eastAsia" w:ascii="宋体" w:hAnsi="宋体" w:cs="宋体"/>
          <w:sz w:val="24"/>
        </w:rPr>
        <w:t>建议项目单位在后续工作中积极引导参与日常考核，改变以往监督结果来源单一的考核方式，进一步完善多方参与的监督考核机制，在第三方辅助提供日常监管检查工作的同时，强化行业主管部门管理职责，切实加强对第三方监管单位的督促管理，确保其监管责任的进一步落实，及时发现并整改相关问题，避免有监管不到位等事项发生。</w:t>
      </w:r>
    </w:p>
    <w:p>
      <w:pPr>
        <w:spacing w:after="156" w:afterLines="50" w:line="360" w:lineRule="auto"/>
        <w:ind w:firstLine="480" w:firstLineChars="200"/>
        <w:rPr>
          <w:rFonts w:ascii="宋体" w:hAnsi="宋体" w:cs="宋体"/>
          <w:sz w:val="24"/>
        </w:rPr>
      </w:pPr>
      <w:r>
        <w:rPr>
          <w:rFonts w:hint="eastAsia" w:ascii="宋体" w:hAnsi="宋体" w:cs="宋体"/>
          <w:sz w:val="24"/>
        </w:rPr>
        <w:t>4.2022年预算调整建议</w:t>
      </w:r>
    </w:p>
    <w:p>
      <w:pPr>
        <w:spacing w:after="156" w:afterLines="50" w:line="360" w:lineRule="auto"/>
        <w:ind w:firstLine="480" w:firstLineChars="200"/>
        <w:rPr>
          <w:rFonts w:ascii="宋体" w:hAnsi="宋体" w:cs="宋体"/>
          <w:sz w:val="24"/>
        </w:rPr>
      </w:pPr>
      <w:r>
        <w:rPr>
          <w:rFonts w:hint="eastAsia" w:ascii="宋体" w:hAnsi="宋体" w:cs="宋体"/>
          <w:sz w:val="24"/>
        </w:rPr>
        <w:t>由于本项目主要为采购服务且合同已签订，建议区环境管理中心结合上半年执行情况分析项目执行进度：</w:t>
      </w:r>
    </w:p>
    <w:p>
      <w:pPr>
        <w:spacing w:after="156" w:afterLines="50" w:line="360" w:lineRule="auto"/>
        <w:ind w:firstLine="480" w:firstLineChars="200"/>
        <w:rPr>
          <w:rFonts w:ascii="宋体" w:hAnsi="宋体" w:cs="宋体"/>
          <w:sz w:val="24"/>
        </w:rPr>
      </w:pPr>
      <w:r>
        <w:rPr>
          <w:rFonts w:hint="eastAsia" w:ascii="宋体" w:hAnsi="宋体" w:cs="宋体"/>
          <w:sz w:val="24"/>
        </w:rPr>
        <w:t>①关注项目上半年实际履行情况，“生活垃圾综合处理厂地下水及土壤的监测费”和生活垃圾、“建筑垃圾、两网融合末端处置第三方监管辅助服务”均因疫情影响有2个月的暂停服务期，建议调减相应服务费用，即调减预算资金26万左右。</w:t>
      </w:r>
    </w:p>
    <w:p>
      <w:pPr>
        <w:spacing w:after="156" w:afterLines="50" w:line="360" w:lineRule="auto"/>
        <w:ind w:firstLine="480" w:firstLineChars="200"/>
        <w:rPr>
          <w:rFonts w:ascii="宋体" w:hAnsi="宋体" w:cs="宋体"/>
          <w:sz w:val="24"/>
        </w:rPr>
      </w:pPr>
      <w:r>
        <w:rPr>
          <w:rFonts w:hint="eastAsia" w:ascii="宋体" w:hAnsi="宋体" w:cs="宋体"/>
          <w:sz w:val="24"/>
        </w:rPr>
        <w:t>②关注垃圾填埋场渗滤液处置项目的执行进度，截至2022年6月，项目处置设施尚在办理排污纳管许可过程中，预计2022年实际支付的服务期2个月左右，即涉及调减预算资金102万左右。</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5.关于2023年预算的建议</w:t>
      </w:r>
    </w:p>
    <w:p>
      <w:pPr>
        <w:spacing w:after="156" w:afterLines="50" w:line="360" w:lineRule="auto"/>
        <w:ind w:firstLine="480" w:firstLineChars="200"/>
        <w:rPr>
          <w:rFonts w:ascii="宋体" w:hAnsi="宋体" w:cs="宋体"/>
          <w:sz w:val="24"/>
        </w:rPr>
      </w:pPr>
      <w:bookmarkStart w:id="26" w:name="_Toc108360658"/>
      <w:r>
        <w:rPr>
          <w:rFonts w:hint="eastAsia" w:ascii="宋体" w:hAnsi="宋体" w:cs="宋体"/>
          <w:sz w:val="24"/>
        </w:rPr>
        <w:t>考虑本项目基本是采购服务项目，结合近几年预算执行情况判断，在项目子项没有大的变化的情况下，2023年预算基本与上年度合同一致。但同时建议项目单位关注：①各子项目的项目执行时间，2022年合同签订已开始调整为截止到年底，考虑到验收程序等因素，全年预算金额应与年内实际付款计划相对应。②关注采购成本构成，预算测算内容中个别子项包括设备购置费用，该部分设备系中标单位在服务过程中使用，设备非项目单位采购，因此其成本测算内容应为合理的使用成本，可结合设备合理的使用年限估计。③现有采购服务的主要成本支出为人员工资，重点关注成本构成内容、合理单价及数量，确认服务需求、岗位人数等有无新的变化，注意测算过程中相同参数的同口径，以充实采购服务的测算依据，在此基础上开展必要的论证程序，以公允的价格适应本区域、本项目特点。</w:t>
      </w:r>
    </w:p>
    <w:p>
      <w:pPr>
        <w:spacing w:after="156" w:afterLines="50" w:line="360" w:lineRule="auto"/>
        <w:ind w:firstLine="480" w:firstLineChars="200"/>
        <w:outlineLvl w:val="0"/>
        <w:rPr>
          <w:rFonts w:ascii="宋体" w:hAnsi="宋体" w:cs="宋体"/>
          <w:sz w:val="24"/>
        </w:rPr>
      </w:pPr>
      <w:bookmarkStart w:id="27" w:name="_Toc111399256"/>
      <w:bookmarkStart w:id="28" w:name="_Toc110193555"/>
      <w:r>
        <w:rPr>
          <w:rFonts w:hint="eastAsia" w:ascii="宋体" w:hAnsi="宋体" w:cs="宋体"/>
          <w:sz w:val="24"/>
        </w:rPr>
        <w:t>五、其他需要说明的情况</w:t>
      </w:r>
      <w:bookmarkEnd w:id="26"/>
      <w:bookmarkEnd w:id="27"/>
      <w:bookmarkEnd w:id="28"/>
    </w:p>
    <w:p>
      <w:pPr>
        <w:spacing w:after="156" w:afterLines="50" w:line="360" w:lineRule="auto"/>
        <w:ind w:firstLine="480" w:firstLineChars="200"/>
        <w:rPr>
          <w:rFonts w:ascii="宋体" w:hAnsi="宋体" w:cs="宋体"/>
          <w:sz w:val="24"/>
        </w:rPr>
      </w:pPr>
      <w:r>
        <w:rPr>
          <w:rFonts w:hint="eastAsia" w:ascii="宋体" w:hAnsi="宋体" w:cs="宋体"/>
          <w:sz w:val="24"/>
        </w:rPr>
        <w:t>评价组调研过程中发现，西虹桥中转站、青西中转站、建筑垃圾处理厂、香花桥“两网融合”集散场等中转及末端处置设施现有运营方的控股股东上海城投（集团）有限公司间接持股第三方监管单位上海市环境工程设计科学研究院有限公司46.5%股权，监管方与运营方存在间接的资本关联，现有监管、运营人员均为独立工作团队，监管要求及项目采购等文件中未见限制性条款，建议预算单位对此予以关注。</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六、结果应用情况</w:t>
      </w:r>
    </w:p>
    <w:p>
      <w:pPr>
        <w:spacing w:after="156" w:afterLines="50" w:line="360" w:lineRule="auto"/>
        <w:ind w:firstLine="480" w:firstLineChars="200"/>
        <w:rPr>
          <w:rFonts w:ascii="宋体" w:hAnsi="宋体" w:cs="宋体"/>
          <w:sz w:val="24"/>
        </w:rPr>
      </w:pPr>
      <w:r>
        <w:rPr>
          <w:rFonts w:hint="eastAsia" w:ascii="宋体" w:hAnsi="宋体" w:cs="宋体"/>
          <w:sz w:val="24"/>
        </w:rPr>
        <w:t>（一）进一步加强预算编制的精细化水平，按照合理成本测算安排预算，同时逐步对预算项目的开展时间进行调整，尽量避免跨年度项目的产生。对于跨年度项目的资金安排进行综合考虑，在编制时将充分考虑并对预算内容进一步细化。按照年度实际资金需求安排预算，提升资金执行率。</w:t>
      </w:r>
    </w:p>
    <w:p>
      <w:pPr>
        <w:spacing w:after="156" w:afterLines="50" w:line="360" w:lineRule="auto"/>
        <w:ind w:firstLine="480" w:firstLineChars="200"/>
        <w:rPr>
          <w:rFonts w:ascii="宋体" w:hAnsi="宋体" w:cs="宋体"/>
          <w:sz w:val="24"/>
        </w:rPr>
      </w:pPr>
      <w:r>
        <w:rPr>
          <w:rFonts w:hint="eastAsia" w:ascii="宋体" w:hAnsi="宋体" w:cs="宋体"/>
          <w:sz w:val="24"/>
        </w:rPr>
        <w:t>（二）加强项目计划及合同管理，对含有建设周期的项目在预算安排上进行分步细化，根据项目进度合理安排预算资金的安排和支付进度。</w:t>
      </w:r>
    </w:p>
    <w:p>
      <w:pPr>
        <w:pStyle w:val="2"/>
        <w:spacing w:after="156" w:afterLines="50" w:line="360" w:lineRule="auto"/>
        <w:ind w:firstLine="480"/>
        <w:rPr>
          <w:rFonts w:hAnsi="宋体" w:cs="宋体"/>
          <w:sz w:val="24"/>
        </w:rPr>
      </w:pPr>
      <w:r>
        <w:rPr>
          <w:rFonts w:hint="eastAsia" w:hAnsi="宋体" w:cs="宋体"/>
          <w:sz w:val="24"/>
        </w:rPr>
        <w:t>（三）加强日常监督考核，形成第三方、项目主管部门、行业等立体监管模式。在有条件的情况下增加业务人员配置，增加主管单位考核机制以此作为对项目推进及支付必要依据，根据主管单位考核情况确认项目经费的支付。以起到强化行业主管部门管理职责，切实加强对第三方监管单位的督促管理的作用。</w:t>
      </w:r>
    </w:p>
    <w:p>
      <w:pPr>
        <w:pStyle w:val="2"/>
        <w:spacing w:after="156" w:afterLines="50" w:line="360" w:lineRule="auto"/>
        <w:ind w:firstLine="480"/>
        <w:rPr>
          <w:rFonts w:hAnsi="宋体" w:cs="宋体"/>
          <w:sz w:val="24"/>
        </w:rPr>
      </w:pPr>
      <w:r>
        <w:rPr>
          <w:rFonts w:hint="eastAsia" w:hAnsi="宋体" w:cs="宋体"/>
          <w:sz w:val="24"/>
        </w:rPr>
        <w:t>（四）已对涉及疫情等不可抗因素影响的项目在双方确认的情况下对原有合同进行调整，按比例扣除相应预算经费。</w:t>
      </w:r>
    </w:p>
    <w:p>
      <w:pPr>
        <w:pStyle w:val="2"/>
        <w:spacing w:after="156" w:afterLines="50" w:line="360" w:lineRule="auto"/>
        <w:ind w:firstLine="480"/>
        <w:rPr>
          <w:rFonts w:hAnsi="宋体" w:cs="宋体"/>
          <w:sz w:val="24"/>
        </w:rPr>
      </w:pPr>
      <w:r>
        <w:rPr>
          <w:rFonts w:hint="eastAsia" w:hAnsi="宋体" w:cs="宋体"/>
          <w:sz w:val="24"/>
        </w:rPr>
        <w:t>（五）按照报价建议，调减2022年度部门项目支出预算，同时，在编制2023年度部门预算时进一步关注项目执行时间、采购成本等因素。</w:t>
      </w:r>
    </w:p>
    <w:p>
      <w:pPr>
        <w:pStyle w:val="2"/>
        <w:spacing w:after="156" w:afterLines="50" w:line="360" w:lineRule="auto"/>
        <w:ind w:firstLine="480"/>
        <w:rPr>
          <w:rFonts w:hAnsi="宋体" w:cs="宋体"/>
          <w:sz w:val="24"/>
        </w:rPr>
      </w:pPr>
    </w:p>
    <w:p>
      <w:pPr>
        <w:pStyle w:val="2"/>
        <w:spacing w:after="156" w:afterLines="50" w:line="360" w:lineRule="auto"/>
        <w:ind w:firstLine="480"/>
        <w:rPr>
          <w:rFonts w:hAnsi="宋体" w:cs="宋体"/>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MwMmM1ODlkMDIwZmY4NWY2MTk1Yjk5ZDlhZDAwNTkifQ=="/>
    <w:docVar w:name="KSO_WPS_MARK_KEY" w:val="c16f7ac5-8ed6-4b22-8ac1-b74596e45688"/>
  </w:docVars>
  <w:rsids>
    <w:rsidRoot w:val="00CA335F"/>
    <w:rsid w:val="00063066"/>
    <w:rsid w:val="000D2D79"/>
    <w:rsid w:val="001009CB"/>
    <w:rsid w:val="00196661"/>
    <w:rsid w:val="00206EAD"/>
    <w:rsid w:val="00240DC7"/>
    <w:rsid w:val="00270DEC"/>
    <w:rsid w:val="00287D95"/>
    <w:rsid w:val="002E6645"/>
    <w:rsid w:val="0035001E"/>
    <w:rsid w:val="003C5F38"/>
    <w:rsid w:val="004B5782"/>
    <w:rsid w:val="004C490A"/>
    <w:rsid w:val="005830A9"/>
    <w:rsid w:val="006B0006"/>
    <w:rsid w:val="006C35FD"/>
    <w:rsid w:val="00763E3B"/>
    <w:rsid w:val="007F5ADA"/>
    <w:rsid w:val="007F7C8E"/>
    <w:rsid w:val="00AE1AF8"/>
    <w:rsid w:val="00B00D8C"/>
    <w:rsid w:val="00B210ED"/>
    <w:rsid w:val="00C24FB0"/>
    <w:rsid w:val="00C86878"/>
    <w:rsid w:val="00C965E6"/>
    <w:rsid w:val="00CA335F"/>
    <w:rsid w:val="00CB401E"/>
    <w:rsid w:val="00D24DEF"/>
    <w:rsid w:val="00F23293"/>
    <w:rsid w:val="00F262F1"/>
    <w:rsid w:val="00FA3914"/>
    <w:rsid w:val="00FD10E2"/>
    <w:rsid w:val="00FD2DEA"/>
    <w:rsid w:val="00FE2543"/>
    <w:rsid w:val="030447ED"/>
    <w:rsid w:val="04820B6B"/>
    <w:rsid w:val="05FD496D"/>
    <w:rsid w:val="06BD4DB6"/>
    <w:rsid w:val="074C24FB"/>
    <w:rsid w:val="094B59F1"/>
    <w:rsid w:val="0B4E6285"/>
    <w:rsid w:val="0BFE237F"/>
    <w:rsid w:val="0C903519"/>
    <w:rsid w:val="0DC57B70"/>
    <w:rsid w:val="0F851366"/>
    <w:rsid w:val="10263C32"/>
    <w:rsid w:val="10727708"/>
    <w:rsid w:val="12ED0DC6"/>
    <w:rsid w:val="133D4D21"/>
    <w:rsid w:val="14345FF8"/>
    <w:rsid w:val="147D3BF2"/>
    <w:rsid w:val="14D96FB7"/>
    <w:rsid w:val="16495944"/>
    <w:rsid w:val="169326D4"/>
    <w:rsid w:val="1B330E20"/>
    <w:rsid w:val="1B485E18"/>
    <w:rsid w:val="1C3C5B34"/>
    <w:rsid w:val="1CF56A43"/>
    <w:rsid w:val="1DC52513"/>
    <w:rsid w:val="21E9C3D3"/>
    <w:rsid w:val="21F741AB"/>
    <w:rsid w:val="2299472A"/>
    <w:rsid w:val="231950D4"/>
    <w:rsid w:val="23A03E43"/>
    <w:rsid w:val="23DB6474"/>
    <w:rsid w:val="26C11C23"/>
    <w:rsid w:val="26F2235E"/>
    <w:rsid w:val="29DA3081"/>
    <w:rsid w:val="29EE2862"/>
    <w:rsid w:val="2A2C0A1E"/>
    <w:rsid w:val="2C07559C"/>
    <w:rsid w:val="2C1B2732"/>
    <w:rsid w:val="2D9B0395"/>
    <w:rsid w:val="2EE235DE"/>
    <w:rsid w:val="31B12944"/>
    <w:rsid w:val="31C0702B"/>
    <w:rsid w:val="32B8220B"/>
    <w:rsid w:val="35103D2E"/>
    <w:rsid w:val="357503E1"/>
    <w:rsid w:val="36687A6B"/>
    <w:rsid w:val="379545E5"/>
    <w:rsid w:val="391231B2"/>
    <w:rsid w:val="39D7006D"/>
    <w:rsid w:val="3A912CDA"/>
    <w:rsid w:val="3BA76655"/>
    <w:rsid w:val="3DAF651E"/>
    <w:rsid w:val="3DC0A03E"/>
    <w:rsid w:val="3DEDAD27"/>
    <w:rsid w:val="3E533D94"/>
    <w:rsid w:val="3ED96F9D"/>
    <w:rsid w:val="3FBE49AE"/>
    <w:rsid w:val="3FFBC761"/>
    <w:rsid w:val="3FFF51A5"/>
    <w:rsid w:val="404B1BBF"/>
    <w:rsid w:val="40FC5716"/>
    <w:rsid w:val="41750096"/>
    <w:rsid w:val="425D7EB7"/>
    <w:rsid w:val="43461473"/>
    <w:rsid w:val="43C9130E"/>
    <w:rsid w:val="46D84A50"/>
    <w:rsid w:val="48C758A8"/>
    <w:rsid w:val="49972828"/>
    <w:rsid w:val="49C302E1"/>
    <w:rsid w:val="4A0830A1"/>
    <w:rsid w:val="4A6A32B9"/>
    <w:rsid w:val="4C651E42"/>
    <w:rsid w:val="4E0D3D89"/>
    <w:rsid w:val="4FC2346C"/>
    <w:rsid w:val="51CB72CF"/>
    <w:rsid w:val="52E47847"/>
    <w:rsid w:val="536117A2"/>
    <w:rsid w:val="53F57818"/>
    <w:rsid w:val="540128FB"/>
    <w:rsid w:val="554144F3"/>
    <w:rsid w:val="55C71A0D"/>
    <w:rsid w:val="569340D4"/>
    <w:rsid w:val="5776668B"/>
    <w:rsid w:val="590774E1"/>
    <w:rsid w:val="5A8A47E2"/>
    <w:rsid w:val="5BEF8118"/>
    <w:rsid w:val="5C99209A"/>
    <w:rsid w:val="5D1A7927"/>
    <w:rsid w:val="5D7851B2"/>
    <w:rsid w:val="5DBC5FC7"/>
    <w:rsid w:val="5DD7161C"/>
    <w:rsid w:val="5E700196"/>
    <w:rsid w:val="5E79448F"/>
    <w:rsid w:val="5ECD2B8A"/>
    <w:rsid w:val="5F4D57FC"/>
    <w:rsid w:val="60360DED"/>
    <w:rsid w:val="61F56213"/>
    <w:rsid w:val="6257032D"/>
    <w:rsid w:val="63CA4E46"/>
    <w:rsid w:val="63FE04BF"/>
    <w:rsid w:val="6412040D"/>
    <w:rsid w:val="65EF0136"/>
    <w:rsid w:val="673570C4"/>
    <w:rsid w:val="684F79F4"/>
    <w:rsid w:val="685D4F7A"/>
    <w:rsid w:val="6A316CFE"/>
    <w:rsid w:val="6B2A5D07"/>
    <w:rsid w:val="6BA838A9"/>
    <w:rsid w:val="6CCF0F7D"/>
    <w:rsid w:val="6D2771AA"/>
    <w:rsid w:val="6E704DB1"/>
    <w:rsid w:val="6ED30C1B"/>
    <w:rsid w:val="73C231FD"/>
    <w:rsid w:val="73FD186E"/>
    <w:rsid w:val="74BF5B7E"/>
    <w:rsid w:val="751320B2"/>
    <w:rsid w:val="76CA18D7"/>
    <w:rsid w:val="776D9587"/>
    <w:rsid w:val="777E0BEC"/>
    <w:rsid w:val="79985EF1"/>
    <w:rsid w:val="7B2C4056"/>
    <w:rsid w:val="7B5833F4"/>
    <w:rsid w:val="7BB53644"/>
    <w:rsid w:val="7BBBF38A"/>
    <w:rsid w:val="7BC3769B"/>
    <w:rsid w:val="7D8697B3"/>
    <w:rsid w:val="7E2310B8"/>
    <w:rsid w:val="7E644621"/>
    <w:rsid w:val="7E663931"/>
    <w:rsid w:val="7EDC30F0"/>
    <w:rsid w:val="7F9F093F"/>
    <w:rsid w:val="7FD24C09"/>
    <w:rsid w:val="7FD528A7"/>
    <w:rsid w:val="7FE66523"/>
    <w:rsid w:val="7FEE11B7"/>
    <w:rsid w:val="7FFB191F"/>
    <w:rsid w:val="CD17EB00"/>
    <w:rsid w:val="EF7F9F1D"/>
    <w:rsid w:val="FCCD5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9"/>
    <w:pPr>
      <w:keepNext/>
      <w:keepLines/>
      <w:spacing w:before="340" w:after="330" w:line="576" w:lineRule="auto"/>
      <w:outlineLvl w:val="0"/>
    </w:pPr>
    <w:rPr>
      <w:b/>
      <w:kern w:val="44"/>
      <w:sz w:val="44"/>
    </w:rPr>
  </w:style>
  <w:style w:type="paragraph" w:styleId="6">
    <w:name w:val="heading 2"/>
    <w:basedOn w:val="1"/>
    <w:next w:val="1"/>
    <w:qFormat/>
    <w:uiPriority w:val="0"/>
    <w:pPr>
      <w:keepNext/>
      <w:keepLines/>
      <w:spacing w:line="500" w:lineRule="exact"/>
      <w:ind w:firstLine="200" w:firstLineChars="200"/>
      <w:outlineLvl w:val="1"/>
    </w:pPr>
    <w:rPr>
      <w:rFonts w:ascii="Cambria" w:hAnsi="Cambria" w:eastAsia="仿宋" w:cs="宋体"/>
      <w:b/>
      <w:bCs/>
      <w:sz w:val="28"/>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next w:val="4"/>
    <w:qFormat/>
    <w:uiPriority w:val="99"/>
    <w:pPr>
      <w:spacing w:line="500" w:lineRule="exact"/>
      <w:ind w:firstLine="567"/>
    </w:pPr>
    <w:rPr>
      <w:rFonts w:ascii="宋体"/>
      <w:sz w:val="28"/>
    </w:rPr>
  </w:style>
  <w:style w:type="paragraph" w:styleId="4">
    <w:name w:val="envelope return"/>
    <w:basedOn w:val="1"/>
    <w:qFormat/>
    <w:uiPriority w:val="99"/>
    <w:pPr>
      <w:snapToGrid w:val="0"/>
    </w:pPr>
    <w:rPr>
      <w:rFonts w:ascii="Arial" w:hAnsi="Arial"/>
    </w:rPr>
  </w:style>
  <w:style w:type="paragraph" w:styleId="7">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正文二"/>
    <w:basedOn w:val="1"/>
    <w:qFormat/>
    <w:uiPriority w:val="0"/>
    <w:pPr>
      <w:ind w:firstLine="200" w:firstLineChars="200"/>
    </w:pPr>
    <w:rPr>
      <w:rFonts w:ascii="宋体" w:hAnsi="宋体" w:eastAsia="仿宋_GB2312"/>
      <w:sz w:val="28"/>
      <w:szCs w:val="30"/>
    </w:rPr>
  </w:style>
  <w:style w:type="paragraph" w:customStyle="1" w:styleId="15">
    <w:name w:val="机关发文"/>
    <w:basedOn w:val="16"/>
    <w:qFormat/>
    <w:uiPriority w:val="0"/>
    <w:pPr>
      <w:spacing w:line="560" w:lineRule="exact"/>
      <w:ind w:firstLine="200" w:firstLineChars="200"/>
    </w:pPr>
    <w:rPr>
      <w:rFonts w:eastAsia="仿宋_GB2312"/>
      <w:sz w:val="32"/>
    </w:rPr>
  </w:style>
  <w:style w:type="paragraph" w:customStyle="1" w:styleId="16">
    <w:name w:val="标书正文"/>
    <w:basedOn w:val="1"/>
    <w:qFormat/>
    <w:uiPriority w:val="0"/>
    <w:rPr>
      <w:szCs w:val="20"/>
    </w:rPr>
  </w:style>
  <w:style w:type="paragraph" w:customStyle="1" w:styleId="17">
    <w:name w:val="无间隔2"/>
    <w:qFormat/>
    <w:uiPriority w:val="0"/>
    <w:rPr>
      <w:rFonts w:ascii="Calibri" w:hAnsi="Calibri" w:eastAsia="宋体" w:cs="Calibri"/>
      <w:sz w:val="22"/>
      <w:szCs w:val="22"/>
      <w:lang w:val="en-US" w:eastAsia="zh-CN" w:bidi="ar-SA"/>
    </w:rPr>
  </w:style>
  <w:style w:type="paragraph" w:styleId="1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FD8F06-A667-4465-9BF9-8FB0C145579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5059</Words>
  <Characters>5252</Characters>
  <Lines>37</Lines>
  <Paragraphs>10</Paragraphs>
  <TotalTime>0</TotalTime>
  <ScaleCrop>false</ScaleCrop>
  <LinksUpToDate>false</LinksUpToDate>
  <CharactersWithSpaces>5252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2022-09-30T05:37:00Z</dcterms:created>
  <dc:creator>Administrator</dc:creator>
  <cp:lastModifiedBy>zhuyh</cp:lastModifiedBy>
  <cp:lastPrinted>2020-07-10T00:56:00Z</cp:lastPrinted>
  <dcterms:modified xsi:type="dcterms:W3CDTF">2022-11-06T07:44:06Z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1E249C1B7F79456093C4D02C9F4B494D</vt:lpwstr>
  </property>
</Properties>
</file>