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96B" w:rsidRDefault="00CE138C" w:rsidP="001F2E4F">
      <w:pPr>
        <w:spacing w:afterLines="50" w:line="360" w:lineRule="auto"/>
        <w:jc w:val="center"/>
        <w:outlineLvl w:val="0"/>
        <w:rPr>
          <w:rFonts w:ascii="宋体" w:hAnsi="宋体" w:cs="宋体"/>
          <w:b/>
          <w:bCs/>
          <w:sz w:val="44"/>
          <w:szCs w:val="44"/>
        </w:rPr>
      </w:pPr>
      <w:r>
        <w:rPr>
          <w:rFonts w:ascii="宋体" w:hAnsi="宋体" w:cs="宋体" w:hint="eastAsia"/>
          <w:b/>
          <w:bCs/>
          <w:sz w:val="44"/>
          <w:szCs w:val="44"/>
        </w:rPr>
        <w:t>青浦区农业绿色补贴政策</w:t>
      </w:r>
      <w:r>
        <w:rPr>
          <w:rFonts w:ascii="宋体" w:hAnsi="宋体" w:cs="宋体" w:hint="eastAsia"/>
          <w:b/>
          <w:bCs/>
          <w:sz w:val="44"/>
          <w:szCs w:val="44"/>
        </w:rPr>
        <w:br/>
      </w:r>
      <w:r>
        <w:rPr>
          <w:rFonts w:ascii="宋体" w:hAnsi="宋体" w:cs="宋体" w:hint="eastAsia"/>
          <w:b/>
          <w:bCs/>
          <w:sz w:val="44"/>
          <w:szCs w:val="44"/>
        </w:rPr>
        <w:t>绩效评价结果信息公开</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为加强财政支出管理，强化支出责任，提高财政资金使用绩效，根据区委区政府《关于我区全面实施预算绩效管理的实施意见》（青委〔</w:t>
      </w:r>
      <w:r>
        <w:rPr>
          <w:rFonts w:ascii="宋体" w:hAnsi="宋体" w:cs="宋体" w:hint="eastAsia"/>
          <w:sz w:val="24"/>
        </w:rPr>
        <w:t>2019</w:t>
      </w:r>
      <w:r>
        <w:rPr>
          <w:rFonts w:ascii="宋体" w:hAnsi="宋体" w:cs="宋体" w:hint="eastAsia"/>
          <w:sz w:val="24"/>
        </w:rPr>
        <w:t>〕</w:t>
      </w:r>
      <w:r>
        <w:rPr>
          <w:rFonts w:ascii="宋体" w:hAnsi="宋体" w:cs="宋体" w:hint="eastAsia"/>
          <w:sz w:val="24"/>
        </w:rPr>
        <w:t>245</w:t>
      </w:r>
      <w:r>
        <w:rPr>
          <w:rFonts w:ascii="宋体" w:hAnsi="宋体" w:cs="宋体" w:hint="eastAsia"/>
          <w:sz w:val="24"/>
        </w:rPr>
        <w:t>号）文件精神，</w:t>
      </w:r>
      <w:r>
        <w:rPr>
          <w:rFonts w:ascii="宋体" w:hAnsi="宋体" w:cs="宋体" w:hint="eastAsia"/>
          <w:sz w:val="24"/>
        </w:rPr>
        <w:t>2022</w:t>
      </w:r>
      <w:r>
        <w:rPr>
          <w:rFonts w:ascii="宋体" w:hAnsi="宋体" w:cs="宋体" w:hint="eastAsia"/>
          <w:sz w:val="24"/>
        </w:rPr>
        <w:t>年，青浦区财政局组织对青浦区农业绿色补贴政策实施绩效评价，并委托上海玄钥管理咨询有限公司</w:t>
      </w:r>
      <w:r>
        <w:rPr>
          <w:rFonts w:ascii="宋体" w:hAnsi="宋体" w:cs="宋体" w:hint="eastAsia"/>
          <w:sz w:val="24"/>
        </w:rPr>
        <w:t>具体</w:t>
      </w:r>
      <w:bookmarkStart w:id="0" w:name="_GoBack"/>
      <w:bookmarkEnd w:id="0"/>
      <w:r>
        <w:rPr>
          <w:rFonts w:ascii="宋体" w:hAnsi="宋体" w:cs="宋体" w:hint="eastAsia"/>
          <w:sz w:val="24"/>
        </w:rPr>
        <w:t>实施，区农业农村委和区财政局围绕预算管理、政策完善及财政内部管理等进行绩效评价结果落实应用。</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一、政策概况</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我国从</w:t>
      </w:r>
      <w:r>
        <w:rPr>
          <w:rFonts w:ascii="宋体" w:hAnsi="宋体" w:cs="宋体" w:hint="eastAsia"/>
          <w:sz w:val="24"/>
        </w:rPr>
        <w:t>2003</w:t>
      </w:r>
      <w:r>
        <w:rPr>
          <w:rFonts w:ascii="宋体" w:hAnsi="宋体" w:cs="宋体" w:hint="eastAsia"/>
          <w:sz w:val="24"/>
        </w:rPr>
        <w:t>年开始对农粮农民实行直接补贴及农资综合补贴，全国各地开始陆续出台了相关政策，农业补贴经历了快速增长与巩固完善的发展过程。期间，青浦区农业农村委员会（以下简称“区农业农村委”）陆续出台了各类补贴政策，以上一轮（</w:t>
      </w:r>
      <w:r>
        <w:rPr>
          <w:rFonts w:ascii="宋体" w:hAnsi="宋体" w:cs="宋体" w:hint="eastAsia"/>
          <w:sz w:val="24"/>
        </w:rPr>
        <w:t>2015-2020</w:t>
      </w:r>
      <w:r>
        <w:rPr>
          <w:rFonts w:ascii="宋体" w:hAnsi="宋体" w:cs="宋体" w:hint="eastAsia"/>
          <w:sz w:val="24"/>
        </w:rPr>
        <w:t>年）为例，农业生产相关补贴项涉及水稻种植补贴、水稻农资综合补贴、粮食烘干补贴等共</w:t>
      </w:r>
      <w:r>
        <w:rPr>
          <w:rFonts w:ascii="宋体" w:hAnsi="宋体" w:cs="宋体" w:hint="eastAsia"/>
          <w:sz w:val="24"/>
        </w:rPr>
        <w:t>23</w:t>
      </w:r>
      <w:r>
        <w:rPr>
          <w:rFonts w:ascii="宋体" w:hAnsi="宋体" w:cs="宋体" w:hint="eastAsia"/>
          <w:sz w:val="24"/>
        </w:rPr>
        <w:t>项，分散在</w:t>
      </w:r>
      <w:r>
        <w:rPr>
          <w:rFonts w:ascii="宋体" w:hAnsi="宋体" w:cs="宋体" w:hint="eastAsia"/>
          <w:sz w:val="24"/>
        </w:rPr>
        <w:t>8</w:t>
      </w:r>
      <w:r>
        <w:rPr>
          <w:rFonts w:ascii="宋体" w:hAnsi="宋体" w:cs="宋体" w:hint="eastAsia"/>
          <w:sz w:val="24"/>
        </w:rPr>
        <w:t>个不同政策文件中。</w:t>
      </w:r>
      <w:r>
        <w:rPr>
          <w:rFonts w:ascii="宋体" w:hAnsi="宋体" w:cs="宋体" w:hint="eastAsia"/>
          <w:sz w:val="24"/>
        </w:rPr>
        <w:t>2020</w:t>
      </w:r>
      <w:r>
        <w:rPr>
          <w:rFonts w:ascii="宋体" w:hAnsi="宋体" w:cs="宋体" w:hint="eastAsia"/>
          <w:sz w:val="24"/>
        </w:rPr>
        <w:t>年青浦区响应中央、市级将农业专项补贴资金整</w:t>
      </w:r>
      <w:r>
        <w:rPr>
          <w:rFonts w:ascii="宋体" w:hAnsi="宋体" w:cs="宋体" w:hint="eastAsia"/>
          <w:sz w:val="24"/>
        </w:rPr>
        <w:t>合，提高农业补贴政策的精准性、指向性和实效性的要求，将上一轮农业综合补贴中功能相近、用途相关的农业补贴归并为“农业绿色补贴”专项。并印发了《青浦区农业绿色生产发展补贴专项资金管理办法》（青府办发〔</w:t>
      </w:r>
      <w:r>
        <w:rPr>
          <w:rFonts w:ascii="宋体" w:hAnsi="宋体" w:cs="宋体" w:hint="eastAsia"/>
          <w:sz w:val="24"/>
        </w:rPr>
        <w:t>2020</w:t>
      </w:r>
      <w:r>
        <w:rPr>
          <w:rFonts w:ascii="宋体" w:hAnsi="宋体" w:cs="宋体" w:hint="eastAsia"/>
          <w:sz w:val="24"/>
        </w:rPr>
        <w:t>〕</w:t>
      </w:r>
      <w:r>
        <w:rPr>
          <w:rFonts w:ascii="宋体" w:hAnsi="宋体" w:cs="宋体" w:hint="eastAsia"/>
          <w:sz w:val="24"/>
        </w:rPr>
        <w:t>51</w:t>
      </w:r>
      <w:r>
        <w:rPr>
          <w:rFonts w:ascii="宋体" w:hAnsi="宋体" w:cs="宋体" w:hint="eastAsia"/>
          <w:sz w:val="24"/>
        </w:rPr>
        <w:t>号），为进一步保障农业生产积极性、保证区域内水稻和蔬菜种植面积，推进青浦区农业规模化进程及农业绿色发展，减少化肥农药使用等任务的完成，青浦区农业农村委进一步细化了各二级补贴项的补贴标准、补贴方式，配套制定了《青浦区农作物生产补贴实施细则》（青农委〔</w:t>
      </w:r>
      <w:r>
        <w:rPr>
          <w:rFonts w:ascii="宋体" w:hAnsi="宋体" w:cs="宋体" w:hint="eastAsia"/>
          <w:sz w:val="24"/>
        </w:rPr>
        <w:t>2020</w:t>
      </w:r>
      <w:r>
        <w:rPr>
          <w:rFonts w:ascii="宋体" w:hAnsi="宋体" w:cs="宋体" w:hint="eastAsia"/>
          <w:sz w:val="24"/>
        </w:rPr>
        <w:t>〕</w:t>
      </w:r>
      <w:r>
        <w:rPr>
          <w:rFonts w:ascii="宋体" w:hAnsi="宋体" w:cs="宋体" w:hint="eastAsia"/>
          <w:sz w:val="24"/>
        </w:rPr>
        <w:t>192</w:t>
      </w:r>
      <w:r>
        <w:rPr>
          <w:rFonts w:ascii="宋体" w:hAnsi="宋体" w:cs="宋体" w:hint="eastAsia"/>
          <w:sz w:val="24"/>
        </w:rPr>
        <w:t>号）、《青浦区规模经营补贴实施细则》（</w:t>
      </w:r>
      <w:r>
        <w:rPr>
          <w:rFonts w:ascii="宋体" w:hAnsi="宋体" w:cs="宋体" w:hint="eastAsia"/>
          <w:sz w:val="24"/>
        </w:rPr>
        <w:t>青农委〔</w:t>
      </w:r>
      <w:r>
        <w:rPr>
          <w:rFonts w:ascii="宋体" w:hAnsi="宋体" w:cs="宋体" w:hint="eastAsia"/>
          <w:sz w:val="24"/>
        </w:rPr>
        <w:t>2020</w:t>
      </w:r>
      <w:r>
        <w:rPr>
          <w:rFonts w:ascii="宋体" w:hAnsi="宋体" w:cs="宋体" w:hint="eastAsia"/>
          <w:sz w:val="24"/>
        </w:rPr>
        <w:t>〕</w:t>
      </w:r>
      <w:r>
        <w:rPr>
          <w:rFonts w:ascii="宋体" w:hAnsi="宋体" w:cs="宋体" w:hint="eastAsia"/>
          <w:sz w:val="24"/>
        </w:rPr>
        <w:t>193</w:t>
      </w:r>
      <w:r>
        <w:rPr>
          <w:rFonts w:ascii="宋体" w:hAnsi="宋体" w:cs="宋体" w:hint="eastAsia"/>
          <w:sz w:val="24"/>
        </w:rPr>
        <w:t>号）等文件。</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根据细则，农作物生产补贴和规模经营补贴涉及水稻种植补贴、机插秧补贴、机直播补贴、水稻良种补贴、水稻农药补贴、蔬菜上图补贴</w:t>
      </w:r>
      <w:r w:rsidRPr="001F2E4F">
        <w:rPr>
          <w:rFonts w:ascii="宋体" w:hAnsi="宋体" w:cs="宋体" w:hint="eastAsia"/>
          <w:sz w:val="24"/>
          <w:vertAlign w:val="superscript"/>
        </w:rPr>
        <w:footnoteReference w:id="2"/>
      </w:r>
      <w:r>
        <w:rPr>
          <w:rFonts w:ascii="宋体" w:hAnsi="宋体" w:cs="宋体" w:hint="eastAsia"/>
          <w:sz w:val="24"/>
        </w:rPr>
        <w:t>、蔬菜农药补贴、蔬菜夏淡专用肥补贴、水稻经营规模补贴以及蔬菜经营规模补贴。</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lastRenderedPageBreak/>
        <w:t>本轮政策于</w:t>
      </w:r>
      <w:r>
        <w:rPr>
          <w:rFonts w:ascii="宋体" w:hAnsi="宋体" w:cs="宋体" w:hint="eastAsia"/>
          <w:sz w:val="24"/>
        </w:rPr>
        <w:t>2020</w:t>
      </w:r>
      <w:r>
        <w:rPr>
          <w:rFonts w:ascii="宋体" w:hAnsi="宋体" w:cs="宋体" w:hint="eastAsia"/>
          <w:sz w:val="24"/>
        </w:rPr>
        <w:t>年</w:t>
      </w:r>
      <w:r>
        <w:rPr>
          <w:rFonts w:ascii="宋体" w:hAnsi="宋体" w:cs="宋体" w:hint="eastAsia"/>
          <w:sz w:val="24"/>
        </w:rPr>
        <w:t>10</w:t>
      </w:r>
      <w:r>
        <w:rPr>
          <w:rFonts w:ascii="宋体" w:hAnsi="宋体" w:cs="宋体" w:hint="eastAsia"/>
          <w:sz w:val="24"/>
        </w:rPr>
        <w:t>月设立，</w:t>
      </w:r>
      <w:r>
        <w:rPr>
          <w:rFonts w:ascii="宋体" w:hAnsi="宋体" w:cs="宋体" w:hint="eastAsia"/>
          <w:sz w:val="24"/>
        </w:rPr>
        <w:t>2021</w:t>
      </w:r>
      <w:r>
        <w:rPr>
          <w:rFonts w:ascii="宋体" w:hAnsi="宋体" w:cs="宋体" w:hint="eastAsia"/>
          <w:sz w:val="24"/>
        </w:rPr>
        <w:t>年年初预算资金为</w:t>
      </w:r>
      <w:r>
        <w:rPr>
          <w:rFonts w:ascii="宋体" w:hAnsi="宋体" w:cs="宋体" w:hint="eastAsia"/>
          <w:sz w:val="24"/>
        </w:rPr>
        <w:t>9710.16</w:t>
      </w:r>
      <w:r>
        <w:rPr>
          <w:rFonts w:ascii="宋体" w:hAnsi="宋体" w:cs="宋体" w:hint="eastAsia"/>
          <w:sz w:val="24"/>
        </w:rPr>
        <w:t>万元，调整后预算资金额为</w:t>
      </w:r>
      <w:r>
        <w:rPr>
          <w:rFonts w:ascii="宋体" w:hAnsi="宋体" w:cs="宋体" w:hint="eastAsia"/>
          <w:sz w:val="24"/>
        </w:rPr>
        <w:t>9681.27</w:t>
      </w:r>
      <w:r>
        <w:rPr>
          <w:rFonts w:ascii="宋体" w:hAnsi="宋体" w:cs="宋体" w:hint="eastAsia"/>
          <w:sz w:val="24"/>
        </w:rPr>
        <w:t>万元，资金来源包括市级及以上资金和区级资金，其中市级及以上资金</w:t>
      </w:r>
      <w:r>
        <w:rPr>
          <w:rFonts w:ascii="宋体" w:hAnsi="宋体" w:cs="宋体" w:hint="eastAsia"/>
          <w:sz w:val="24"/>
        </w:rPr>
        <w:t>3933.16</w:t>
      </w:r>
      <w:r>
        <w:rPr>
          <w:rFonts w:ascii="宋体" w:hAnsi="宋体" w:cs="宋体" w:hint="eastAsia"/>
          <w:sz w:val="24"/>
        </w:rPr>
        <w:t>万元，区级年初预算</w:t>
      </w:r>
      <w:r>
        <w:rPr>
          <w:rFonts w:ascii="宋体" w:hAnsi="宋体" w:cs="宋体" w:hint="eastAsia"/>
          <w:sz w:val="24"/>
        </w:rPr>
        <w:t>5777</w:t>
      </w:r>
      <w:r>
        <w:rPr>
          <w:rFonts w:ascii="宋体" w:hAnsi="宋体" w:cs="宋体" w:hint="eastAsia"/>
          <w:sz w:val="24"/>
        </w:rPr>
        <w:t>万元，调整后区级预算</w:t>
      </w:r>
      <w:r>
        <w:rPr>
          <w:rFonts w:ascii="宋体" w:hAnsi="宋体" w:cs="宋体" w:hint="eastAsia"/>
          <w:sz w:val="24"/>
        </w:rPr>
        <w:t>5748.1</w:t>
      </w:r>
      <w:r>
        <w:rPr>
          <w:rFonts w:ascii="宋体" w:hAnsi="宋体" w:cs="宋体" w:hint="eastAsia"/>
          <w:sz w:val="24"/>
        </w:rPr>
        <w:t>万元，预算执行金额为</w:t>
      </w:r>
      <w:r>
        <w:rPr>
          <w:rFonts w:ascii="宋体" w:hAnsi="宋体" w:cs="宋体" w:hint="eastAsia"/>
          <w:sz w:val="24"/>
        </w:rPr>
        <w:t>9671.12</w:t>
      </w:r>
      <w:r>
        <w:rPr>
          <w:rFonts w:ascii="宋体" w:hAnsi="宋体" w:cs="宋体" w:hint="eastAsia"/>
          <w:sz w:val="24"/>
        </w:rPr>
        <w:t>万元，预算执行率为</w:t>
      </w:r>
      <w:r>
        <w:rPr>
          <w:rFonts w:ascii="宋体" w:hAnsi="宋体" w:cs="宋体" w:hint="eastAsia"/>
          <w:sz w:val="24"/>
        </w:rPr>
        <w:t>99.90%</w:t>
      </w:r>
      <w:r>
        <w:rPr>
          <w:rFonts w:ascii="宋体" w:hAnsi="宋体" w:cs="宋体" w:hint="eastAsia"/>
          <w:sz w:val="24"/>
        </w:rPr>
        <w:t>，其中市级及以上预算共执行</w:t>
      </w:r>
      <w:r>
        <w:rPr>
          <w:rFonts w:ascii="宋体" w:hAnsi="宋体" w:cs="宋体" w:hint="eastAsia"/>
          <w:sz w:val="24"/>
        </w:rPr>
        <w:t>3933.15</w:t>
      </w:r>
      <w:r>
        <w:rPr>
          <w:rFonts w:ascii="宋体" w:hAnsi="宋体" w:cs="宋体" w:hint="eastAsia"/>
          <w:sz w:val="24"/>
        </w:rPr>
        <w:t>万元，预算执行率</w:t>
      </w:r>
      <w:r>
        <w:rPr>
          <w:rFonts w:ascii="宋体" w:hAnsi="宋体" w:cs="宋体" w:hint="eastAsia"/>
          <w:sz w:val="24"/>
        </w:rPr>
        <w:t>99.99%</w:t>
      </w:r>
      <w:r>
        <w:rPr>
          <w:rFonts w:ascii="宋体" w:hAnsi="宋体" w:cs="宋体" w:hint="eastAsia"/>
          <w:sz w:val="24"/>
        </w:rPr>
        <w:t>，区级资金预算共执行</w:t>
      </w:r>
      <w:r>
        <w:rPr>
          <w:rFonts w:ascii="宋体" w:hAnsi="宋体" w:cs="宋体" w:hint="eastAsia"/>
          <w:sz w:val="24"/>
        </w:rPr>
        <w:t>5737.95</w:t>
      </w:r>
      <w:r>
        <w:rPr>
          <w:rFonts w:ascii="宋体" w:hAnsi="宋体" w:cs="宋体" w:hint="eastAsia"/>
          <w:sz w:val="24"/>
        </w:rPr>
        <w:t>万元，预算执行率</w:t>
      </w:r>
      <w:r>
        <w:rPr>
          <w:rFonts w:ascii="宋体" w:hAnsi="宋体" w:cs="宋体" w:hint="eastAsia"/>
          <w:sz w:val="24"/>
        </w:rPr>
        <w:t>99.82%</w:t>
      </w:r>
      <w:r>
        <w:rPr>
          <w:rFonts w:ascii="宋体" w:hAnsi="宋体" w:cs="宋体" w:hint="eastAsia"/>
          <w:sz w:val="24"/>
        </w:rPr>
        <w:t>。</w:t>
      </w:r>
      <w:r>
        <w:rPr>
          <w:rFonts w:ascii="宋体" w:hAnsi="宋体" w:cs="宋体" w:hint="eastAsia"/>
          <w:sz w:val="24"/>
        </w:rPr>
        <w:t>2021</w:t>
      </w:r>
      <w:r>
        <w:rPr>
          <w:rFonts w:ascii="宋体" w:hAnsi="宋体" w:cs="宋体" w:hint="eastAsia"/>
          <w:sz w:val="24"/>
        </w:rPr>
        <w:t>年各街镇配套资金共计为</w:t>
      </w:r>
      <w:r>
        <w:rPr>
          <w:rFonts w:ascii="宋体" w:hAnsi="宋体" w:cs="宋体" w:hint="eastAsia"/>
          <w:sz w:val="24"/>
        </w:rPr>
        <w:t>726.91</w:t>
      </w:r>
      <w:r>
        <w:rPr>
          <w:rFonts w:ascii="宋体" w:hAnsi="宋体" w:cs="宋体" w:hint="eastAsia"/>
          <w:sz w:val="24"/>
        </w:rPr>
        <w:t>万元，资金到位率均为</w:t>
      </w:r>
      <w:r>
        <w:rPr>
          <w:rFonts w:ascii="宋体" w:hAnsi="宋体" w:cs="宋体" w:hint="eastAsia"/>
          <w:sz w:val="24"/>
        </w:rPr>
        <w:t>100%</w:t>
      </w:r>
      <w:r>
        <w:rPr>
          <w:rFonts w:ascii="宋体" w:hAnsi="宋体" w:cs="宋体" w:hint="eastAsia"/>
          <w:sz w:val="24"/>
        </w:rPr>
        <w:t>。</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二、评价工作开展情况</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通过了解青浦区农业绿色补贴政策的出台背景，解读青浦区农业绿色补贴的新旧政策；根据政策相关实施意见和操作细则，结合青浦区农业绿色补贴工作开展实际，梳理总结出政策的总目标与阶段性目标；根据对政策及相关文件的梳理，结合青浦区</w:t>
      </w:r>
      <w:r>
        <w:rPr>
          <w:rFonts w:ascii="宋体" w:hAnsi="宋体" w:cs="宋体" w:hint="eastAsia"/>
          <w:sz w:val="24"/>
        </w:rPr>
        <w:t>2020</w:t>
      </w:r>
      <w:r>
        <w:rPr>
          <w:rFonts w:ascii="宋体" w:hAnsi="宋体" w:cs="宋体" w:hint="eastAsia"/>
          <w:sz w:val="24"/>
        </w:rPr>
        <w:t>至</w:t>
      </w:r>
      <w:r>
        <w:rPr>
          <w:rFonts w:ascii="宋体" w:hAnsi="宋体" w:cs="宋体" w:hint="eastAsia"/>
          <w:sz w:val="24"/>
        </w:rPr>
        <w:t>2021</w:t>
      </w:r>
      <w:r>
        <w:rPr>
          <w:rFonts w:ascii="宋体" w:hAnsi="宋体" w:cs="宋体" w:hint="eastAsia"/>
          <w:sz w:val="24"/>
        </w:rPr>
        <w:t>年实际农业生产情况</w:t>
      </w:r>
      <w:r>
        <w:rPr>
          <w:rFonts w:ascii="宋体" w:hAnsi="宋体" w:cs="宋体" w:hint="eastAsia"/>
          <w:sz w:val="24"/>
        </w:rPr>
        <w:t>，通过采用比较法、社会调查法和因素分析法完成指标体系的构建；对青浦区农业绿色补贴政策资金所涉及项目进行梳理，分析各项农业绿色补贴资金占比；通过政策实施前后各项业务与财务数据分析及走访调研工作，了解政策实施效果，通过各项指标分析以发掘青浦区农业绿色补贴政策在政策制定、管理执行上的经验做法和存在的问题；最终，通过对管理、执行以及条款所存在问题的分析为政策修订提出有针对性的政策完善建议。</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三、政策绩效</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（一）评价结论及主要绩效</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项目组通过访谈、数据采集与分析、问卷调查等工作，对青浦区农业绿色补贴政策绩效进行客观评</w:t>
      </w:r>
      <w:r>
        <w:rPr>
          <w:rFonts w:ascii="宋体" w:hAnsi="宋体" w:cs="宋体" w:hint="eastAsia"/>
          <w:sz w:val="24"/>
        </w:rPr>
        <w:t>价，得分为</w:t>
      </w:r>
      <w:r>
        <w:rPr>
          <w:rFonts w:ascii="宋体" w:hAnsi="宋体" w:cs="宋体" w:hint="eastAsia"/>
          <w:sz w:val="24"/>
        </w:rPr>
        <w:t>85.46</w:t>
      </w:r>
      <w:r>
        <w:rPr>
          <w:rFonts w:ascii="宋体" w:hAnsi="宋体" w:cs="宋体" w:hint="eastAsia"/>
          <w:sz w:val="24"/>
        </w:rPr>
        <w:t>分，本政策具有一定引导效应，但部分政策条款以及区对镇的监管要求需要完善和修订，街镇审核工作还有待提高，具体来说：</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政策产出方面</w:t>
      </w:r>
      <w:r w:rsidRPr="001F2E4F">
        <w:rPr>
          <w:rFonts w:ascii="宋体" w:hAnsi="宋体" w:cs="宋体" w:hint="eastAsia"/>
          <w:sz w:val="24"/>
          <w:vertAlign w:val="superscript"/>
        </w:rPr>
        <w:footnoteReference w:id="3"/>
      </w:r>
      <w:r>
        <w:rPr>
          <w:rFonts w:ascii="宋体" w:hAnsi="宋体" w:cs="宋体" w:hint="eastAsia"/>
          <w:sz w:val="24"/>
        </w:rPr>
        <w:t>：全年完成水稻种植补贴面积</w:t>
      </w:r>
      <w:r>
        <w:rPr>
          <w:rFonts w:ascii="宋体" w:hAnsi="宋体" w:cs="宋体" w:hint="eastAsia"/>
          <w:sz w:val="24"/>
        </w:rPr>
        <w:t>124713.67</w:t>
      </w:r>
      <w:r>
        <w:rPr>
          <w:rFonts w:ascii="宋体" w:hAnsi="宋体" w:cs="宋体" w:hint="eastAsia"/>
          <w:sz w:val="24"/>
        </w:rPr>
        <w:t>亩，机插秧补贴面积</w:t>
      </w:r>
      <w:r>
        <w:rPr>
          <w:rFonts w:ascii="宋体" w:hAnsi="宋体" w:cs="宋体" w:hint="eastAsia"/>
          <w:sz w:val="24"/>
        </w:rPr>
        <w:t>60777.14</w:t>
      </w:r>
      <w:r>
        <w:rPr>
          <w:rFonts w:ascii="宋体" w:hAnsi="宋体" w:cs="宋体" w:hint="eastAsia"/>
          <w:sz w:val="24"/>
        </w:rPr>
        <w:t>亩，机直播补贴面积</w:t>
      </w:r>
      <w:r>
        <w:rPr>
          <w:rFonts w:ascii="宋体" w:hAnsi="宋体" w:cs="宋体" w:hint="eastAsia"/>
          <w:sz w:val="24"/>
        </w:rPr>
        <w:t>51234.99</w:t>
      </w:r>
      <w:r>
        <w:rPr>
          <w:rFonts w:ascii="宋体" w:hAnsi="宋体" w:cs="宋体" w:hint="eastAsia"/>
          <w:sz w:val="24"/>
        </w:rPr>
        <w:t>亩，并向其免费统一供应水稻农药补</w:t>
      </w:r>
      <w:r>
        <w:rPr>
          <w:rFonts w:ascii="宋体" w:hAnsi="宋体" w:cs="宋体" w:hint="eastAsia"/>
          <w:sz w:val="24"/>
        </w:rPr>
        <w:lastRenderedPageBreak/>
        <w:t>贴量</w:t>
      </w:r>
      <w:r>
        <w:rPr>
          <w:rFonts w:ascii="宋体" w:hAnsi="宋体" w:cs="宋体" w:hint="eastAsia"/>
          <w:sz w:val="24"/>
        </w:rPr>
        <w:t>42.29</w:t>
      </w:r>
      <w:r>
        <w:rPr>
          <w:rFonts w:ascii="宋体" w:hAnsi="宋体" w:cs="宋体" w:hint="eastAsia"/>
          <w:sz w:val="24"/>
        </w:rPr>
        <w:t>吨，合计</w:t>
      </w:r>
      <w:r>
        <w:rPr>
          <w:rFonts w:ascii="宋体" w:hAnsi="宋体" w:cs="宋体" w:hint="eastAsia"/>
          <w:sz w:val="24"/>
        </w:rPr>
        <w:t>125507.07</w:t>
      </w:r>
      <w:r>
        <w:rPr>
          <w:rFonts w:ascii="宋体" w:hAnsi="宋体" w:cs="宋体" w:hint="eastAsia"/>
          <w:sz w:val="24"/>
        </w:rPr>
        <w:t>亩；完成水稻良种补贴，其中常规稻补贴面积</w:t>
      </w:r>
      <w:r>
        <w:rPr>
          <w:rFonts w:ascii="宋体" w:hAnsi="宋体" w:cs="宋体" w:hint="eastAsia"/>
          <w:sz w:val="24"/>
        </w:rPr>
        <w:t>78562.83</w:t>
      </w:r>
      <w:r>
        <w:rPr>
          <w:rFonts w:ascii="宋体" w:hAnsi="宋体" w:cs="宋体" w:hint="eastAsia"/>
          <w:sz w:val="24"/>
        </w:rPr>
        <w:t>亩，杂交稻补贴面积</w:t>
      </w:r>
      <w:r>
        <w:rPr>
          <w:rFonts w:ascii="宋体" w:hAnsi="宋体" w:cs="宋体" w:hint="eastAsia"/>
          <w:sz w:val="24"/>
        </w:rPr>
        <w:t>46150.84</w:t>
      </w:r>
      <w:r>
        <w:rPr>
          <w:rFonts w:ascii="宋体" w:hAnsi="宋体" w:cs="宋体" w:hint="eastAsia"/>
          <w:sz w:val="24"/>
        </w:rPr>
        <w:t>亩。全年完成了对</w:t>
      </w:r>
      <w:r>
        <w:rPr>
          <w:rFonts w:ascii="宋体" w:hAnsi="宋体" w:cs="宋体" w:hint="eastAsia"/>
          <w:sz w:val="24"/>
        </w:rPr>
        <w:t>2020</w:t>
      </w:r>
      <w:r>
        <w:rPr>
          <w:rFonts w:ascii="宋体" w:hAnsi="宋体" w:cs="宋体" w:hint="eastAsia"/>
          <w:sz w:val="24"/>
        </w:rPr>
        <w:t>年完成蔬菜面积上图的</w:t>
      </w:r>
      <w:r>
        <w:rPr>
          <w:rFonts w:ascii="宋体" w:hAnsi="宋体" w:cs="宋体" w:hint="eastAsia"/>
          <w:sz w:val="24"/>
        </w:rPr>
        <w:t>21868.89</w:t>
      </w:r>
      <w:r>
        <w:rPr>
          <w:rFonts w:ascii="宋体" w:hAnsi="宋体" w:cs="宋体" w:hint="eastAsia"/>
          <w:sz w:val="24"/>
        </w:rPr>
        <w:t>亩绿叶菜和</w:t>
      </w:r>
      <w:r>
        <w:rPr>
          <w:rFonts w:ascii="宋体" w:hAnsi="宋体" w:cs="宋体" w:hint="eastAsia"/>
          <w:sz w:val="24"/>
        </w:rPr>
        <w:t>16544.65</w:t>
      </w:r>
      <w:r>
        <w:rPr>
          <w:rFonts w:ascii="宋体" w:hAnsi="宋体" w:cs="宋体" w:hint="eastAsia"/>
          <w:sz w:val="24"/>
        </w:rPr>
        <w:t>亩散</w:t>
      </w:r>
      <w:r>
        <w:rPr>
          <w:rFonts w:ascii="宋体" w:hAnsi="宋体" w:cs="宋体" w:hint="eastAsia"/>
          <w:sz w:val="24"/>
        </w:rPr>
        <w:t>户种植绿叶菜的补贴工作，并向蔬菜种植户免费统一供应蔬菜农药量</w:t>
      </w:r>
      <w:r>
        <w:rPr>
          <w:rFonts w:ascii="宋体" w:hAnsi="宋体" w:cs="宋体" w:hint="eastAsia"/>
          <w:sz w:val="24"/>
        </w:rPr>
        <w:t>36.07</w:t>
      </w:r>
      <w:r>
        <w:rPr>
          <w:rFonts w:ascii="宋体" w:hAnsi="宋体" w:cs="宋体" w:hint="eastAsia"/>
          <w:sz w:val="24"/>
        </w:rPr>
        <w:t>吨，合计面积</w:t>
      </w:r>
      <w:r>
        <w:rPr>
          <w:rFonts w:ascii="宋体" w:hAnsi="宋体" w:cs="宋体" w:hint="eastAsia"/>
          <w:sz w:val="24"/>
        </w:rPr>
        <w:t>43069</w:t>
      </w:r>
      <w:r>
        <w:rPr>
          <w:rFonts w:ascii="宋体" w:hAnsi="宋体" w:cs="宋体" w:hint="eastAsia"/>
          <w:sz w:val="24"/>
        </w:rPr>
        <w:t>亩；蔬菜夏淡专用肥补贴面积</w:t>
      </w:r>
      <w:r>
        <w:rPr>
          <w:rFonts w:ascii="宋体" w:hAnsi="宋体" w:cs="宋体" w:hint="eastAsia"/>
          <w:sz w:val="24"/>
        </w:rPr>
        <w:t>2.22</w:t>
      </w:r>
      <w:r>
        <w:rPr>
          <w:rFonts w:ascii="宋体" w:hAnsi="宋体" w:cs="宋体" w:hint="eastAsia"/>
          <w:sz w:val="24"/>
        </w:rPr>
        <w:t>万亩。完成对</w:t>
      </w:r>
      <w:r>
        <w:rPr>
          <w:rFonts w:ascii="宋体" w:hAnsi="宋体" w:cs="宋体" w:hint="eastAsia"/>
          <w:sz w:val="24"/>
        </w:rPr>
        <w:t>2020</w:t>
      </w:r>
      <w:r>
        <w:rPr>
          <w:rFonts w:ascii="宋体" w:hAnsi="宋体" w:cs="宋体" w:hint="eastAsia"/>
          <w:sz w:val="24"/>
        </w:rPr>
        <w:t>年认证的</w:t>
      </w:r>
      <w:r>
        <w:rPr>
          <w:rFonts w:ascii="宋体" w:hAnsi="宋体" w:cs="宋体" w:hint="eastAsia"/>
          <w:sz w:val="24"/>
        </w:rPr>
        <w:t>97049.49</w:t>
      </w:r>
      <w:r>
        <w:rPr>
          <w:rFonts w:ascii="宋体" w:hAnsi="宋体" w:cs="宋体" w:hint="eastAsia"/>
          <w:sz w:val="24"/>
        </w:rPr>
        <w:t>亩水稻和</w:t>
      </w:r>
      <w:r>
        <w:rPr>
          <w:rFonts w:ascii="宋体" w:hAnsi="宋体" w:cs="宋体" w:hint="eastAsia"/>
          <w:sz w:val="24"/>
        </w:rPr>
        <w:t>16933.82</w:t>
      </w:r>
      <w:r>
        <w:rPr>
          <w:rFonts w:ascii="宋体" w:hAnsi="宋体" w:cs="宋体" w:hint="eastAsia"/>
          <w:sz w:val="24"/>
        </w:rPr>
        <w:t>亩蔬菜农业适度规模经营主体的补贴发放工作。</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政策效果方面：粮食种植面积实现率为</w:t>
      </w:r>
      <w:r>
        <w:rPr>
          <w:rFonts w:ascii="宋体" w:hAnsi="宋体" w:cs="宋体" w:hint="eastAsia"/>
          <w:sz w:val="24"/>
        </w:rPr>
        <w:t>102.22%</w:t>
      </w:r>
      <w:r>
        <w:rPr>
          <w:rFonts w:ascii="宋体" w:hAnsi="宋体" w:cs="宋体" w:hint="eastAsia"/>
          <w:sz w:val="24"/>
        </w:rPr>
        <w:t>，蔬菜种植面积实现率为</w:t>
      </w:r>
      <w:r>
        <w:rPr>
          <w:rFonts w:ascii="宋体" w:hAnsi="宋体" w:cs="宋体" w:hint="eastAsia"/>
          <w:sz w:val="24"/>
        </w:rPr>
        <w:t>104.9%</w:t>
      </w:r>
      <w:r>
        <w:rPr>
          <w:rFonts w:ascii="宋体" w:hAnsi="宋体" w:cs="宋体" w:hint="eastAsia"/>
          <w:sz w:val="24"/>
        </w:rPr>
        <w:t>，蔬菜上图面积增长率</w:t>
      </w:r>
      <w:r>
        <w:rPr>
          <w:rFonts w:ascii="宋体" w:hAnsi="宋体" w:cs="宋体" w:hint="eastAsia"/>
          <w:sz w:val="24"/>
        </w:rPr>
        <w:t>1.53%</w:t>
      </w:r>
      <w:r>
        <w:rPr>
          <w:rFonts w:ascii="宋体" w:hAnsi="宋体" w:cs="宋体" w:hint="eastAsia"/>
          <w:sz w:val="24"/>
        </w:rPr>
        <w:t>，</w:t>
      </w:r>
      <w:r>
        <w:rPr>
          <w:rFonts w:ascii="宋体" w:hAnsi="宋体" w:cs="宋体" w:hint="eastAsia"/>
          <w:sz w:val="24"/>
        </w:rPr>
        <w:t>2021</w:t>
      </w:r>
      <w:r>
        <w:rPr>
          <w:rFonts w:ascii="宋体" w:hAnsi="宋体" w:cs="宋体" w:hint="eastAsia"/>
          <w:sz w:val="24"/>
        </w:rPr>
        <w:t>年化肥农药使用量降低了</w:t>
      </w:r>
      <w:r>
        <w:rPr>
          <w:rFonts w:ascii="宋体" w:hAnsi="宋体" w:cs="宋体" w:hint="eastAsia"/>
          <w:sz w:val="24"/>
        </w:rPr>
        <w:t>2%</w:t>
      </w:r>
      <w:r>
        <w:rPr>
          <w:rFonts w:ascii="宋体" w:hAnsi="宋体" w:cs="宋体" w:hint="eastAsia"/>
          <w:sz w:val="24"/>
        </w:rPr>
        <w:t>；至</w:t>
      </w:r>
      <w:r>
        <w:rPr>
          <w:rFonts w:ascii="宋体" w:hAnsi="宋体" w:cs="宋体" w:hint="eastAsia"/>
          <w:sz w:val="24"/>
        </w:rPr>
        <w:t>2021</w:t>
      </w:r>
      <w:r>
        <w:rPr>
          <w:rFonts w:ascii="宋体" w:hAnsi="宋体" w:cs="宋体" w:hint="eastAsia"/>
          <w:sz w:val="24"/>
        </w:rPr>
        <w:t>年底规模化自主经营面积为</w:t>
      </w:r>
      <w:r>
        <w:rPr>
          <w:rFonts w:ascii="宋体" w:hAnsi="宋体" w:cs="宋体" w:hint="eastAsia"/>
          <w:sz w:val="24"/>
        </w:rPr>
        <w:t>113983.31</w:t>
      </w:r>
      <w:r>
        <w:rPr>
          <w:rFonts w:ascii="宋体" w:hAnsi="宋体" w:cs="宋体" w:hint="eastAsia"/>
          <w:sz w:val="24"/>
        </w:rPr>
        <w:t>亩，较</w:t>
      </w:r>
      <w:r>
        <w:rPr>
          <w:rFonts w:ascii="宋体" w:hAnsi="宋体" w:cs="宋体" w:hint="eastAsia"/>
          <w:sz w:val="24"/>
        </w:rPr>
        <w:t>2020</w:t>
      </w:r>
      <w:r>
        <w:rPr>
          <w:rFonts w:ascii="宋体" w:hAnsi="宋体" w:cs="宋体" w:hint="eastAsia"/>
          <w:sz w:val="24"/>
        </w:rPr>
        <w:t>年增长</w:t>
      </w:r>
      <w:r>
        <w:rPr>
          <w:rFonts w:ascii="宋体" w:hAnsi="宋体" w:cs="宋体" w:hint="eastAsia"/>
          <w:sz w:val="24"/>
        </w:rPr>
        <w:t>7404.59</w:t>
      </w:r>
      <w:r>
        <w:rPr>
          <w:rFonts w:ascii="宋体" w:hAnsi="宋体" w:cs="宋体" w:hint="eastAsia"/>
          <w:sz w:val="24"/>
        </w:rPr>
        <w:t>亩，规模化效益进一步体现；</w:t>
      </w:r>
      <w:r>
        <w:rPr>
          <w:rFonts w:ascii="宋体" w:hAnsi="宋体" w:cs="宋体" w:hint="eastAsia"/>
          <w:sz w:val="24"/>
        </w:rPr>
        <w:t>2021</w:t>
      </w:r>
      <w:r>
        <w:rPr>
          <w:rFonts w:ascii="宋体" w:hAnsi="宋体" w:cs="宋体" w:hint="eastAsia"/>
          <w:sz w:val="24"/>
        </w:rPr>
        <w:t>年农</w:t>
      </w:r>
      <w:r>
        <w:rPr>
          <w:rFonts w:ascii="宋体" w:hAnsi="宋体" w:cs="宋体" w:hint="eastAsia"/>
          <w:sz w:val="24"/>
        </w:rPr>
        <w:t>残超标检测合格率为</w:t>
      </w:r>
      <w:r>
        <w:rPr>
          <w:rFonts w:ascii="宋体" w:hAnsi="宋体" w:cs="宋体" w:hint="eastAsia"/>
          <w:sz w:val="24"/>
        </w:rPr>
        <w:t>99.69%</w:t>
      </w:r>
      <w:r>
        <w:rPr>
          <w:rFonts w:ascii="宋体" w:hAnsi="宋体" w:cs="宋体" w:hint="eastAsia"/>
          <w:sz w:val="24"/>
        </w:rPr>
        <w:t>，较上年增长了</w:t>
      </w:r>
      <w:r>
        <w:rPr>
          <w:rFonts w:ascii="宋体" w:hAnsi="宋体" w:cs="宋体" w:hint="eastAsia"/>
          <w:sz w:val="24"/>
        </w:rPr>
        <w:t>0.31%</w:t>
      </w:r>
      <w:r>
        <w:rPr>
          <w:rFonts w:ascii="宋体" w:hAnsi="宋体" w:cs="宋体" w:hint="eastAsia"/>
          <w:sz w:val="24"/>
        </w:rPr>
        <w:t>。</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满意度方面：农作物种植户满意度达到</w:t>
      </w:r>
      <w:r>
        <w:rPr>
          <w:rFonts w:ascii="宋体" w:hAnsi="宋体" w:cs="宋体" w:hint="eastAsia"/>
          <w:sz w:val="24"/>
        </w:rPr>
        <w:t>93.74%</w:t>
      </w:r>
      <w:r>
        <w:rPr>
          <w:rFonts w:ascii="宋体" w:hAnsi="宋体" w:cs="宋体" w:hint="eastAsia"/>
          <w:sz w:val="24"/>
        </w:rPr>
        <w:t>，经营主体满意度达到</w:t>
      </w:r>
      <w:r>
        <w:rPr>
          <w:rFonts w:ascii="宋体" w:hAnsi="宋体" w:cs="宋体" w:hint="eastAsia"/>
          <w:sz w:val="24"/>
        </w:rPr>
        <w:t>94.41%</w:t>
      </w:r>
      <w:r>
        <w:rPr>
          <w:rFonts w:ascii="宋体" w:hAnsi="宋体" w:cs="宋体" w:hint="eastAsia"/>
          <w:sz w:val="24"/>
        </w:rPr>
        <w:t>。</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（二）主要经验及做法</w:t>
      </w:r>
    </w:p>
    <w:p w:rsidR="0014796B" w:rsidRDefault="00CE138C" w:rsidP="001F2E4F">
      <w:pPr>
        <w:spacing w:afterLines="50" w:line="360" w:lineRule="auto"/>
        <w:ind w:firstLineChars="200" w:firstLine="480"/>
        <w:outlineLvl w:val="2"/>
        <w:rPr>
          <w:rFonts w:ascii="宋体" w:hAnsi="宋体" w:cs="宋体"/>
          <w:sz w:val="24"/>
        </w:rPr>
      </w:pPr>
      <w:r>
        <w:rPr>
          <w:rFonts w:ascii="宋体" w:hAnsi="宋体" w:cs="宋体" w:hint="eastAsia"/>
          <w:sz w:val="24"/>
        </w:rPr>
        <w:t>1.</w:t>
      </w:r>
      <w:r>
        <w:rPr>
          <w:rFonts w:ascii="宋体" w:hAnsi="宋体" w:cs="宋体" w:hint="eastAsia"/>
          <w:sz w:val="24"/>
        </w:rPr>
        <w:t>通过农作物生产补贴政策的引导，有效完成当年度约束任务，保证了农作物供给</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2021</w:t>
      </w:r>
      <w:r>
        <w:rPr>
          <w:rFonts w:ascii="宋体" w:hAnsi="宋体" w:cs="宋体" w:hint="eastAsia"/>
          <w:sz w:val="24"/>
        </w:rPr>
        <w:t>年新一轮农作物生产补贴政策中，将原水稻种植补贴、水稻农资综合补贴整合为新一轮的水稻种植补贴，并加大政策补贴力度，由原本的相加</w:t>
      </w:r>
      <w:r>
        <w:rPr>
          <w:rFonts w:ascii="宋体" w:hAnsi="宋体" w:cs="宋体" w:hint="eastAsia"/>
          <w:sz w:val="24"/>
        </w:rPr>
        <w:t>272</w:t>
      </w:r>
      <w:r>
        <w:rPr>
          <w:rFonts w:ascii="宋体" w:hAnsi="宋体" w:cs="宋体" w:hint="eastAsia"/>
          <w:sz w:val="24"/>
        </w:rPr>
        <w:t>元</w:t>
      </w:r>
      <w:r>
        <w:rPr>
          <w:rFonts w:ascii="宋体" w:hAnsi="宋体" w:cs="宋体" w:hint="eastAsia"/>
          <w:sz w:val="24"/>
        </w:rPr>
        <w:t>/</w:t>
      </w:r>
      <w:r>
        <w:rPr>
          <w:rFonts w:ascii="宋体" w:hAnsi="宋体" w:cs="宋体" w:hint="eastAsia"/>
          <w:sz w:val="24"/>
        </w:rPr>
        <w:t>亩，提升至</w:t>
      </w:r>
      <w:r>
        <w:rPr>
          <w:rFonts w:ascii="宋体" w:hAnsi="宋体" w:cs="宋体" w:hint="eastAsia"/>
          <w:sz w:val="24"/>
        </w:rPr>
        <w:t>320</w:t>
      </w:r>
      <w:r>
        <w:rPr>
          <w:rFonts w:ascii="宋体" w:hAnsi="宋体" w:cs="宋体" w:hint="eastAsia"/>
          <w:sz w:val="24"/>
        </w:rPr>
        <w:t>元</w:t>
      </w:r>
      <w:r>
        <w:rPr>
          <w:rFonts w:ascii="宋体" w:hAnsi="宋体" w:cs="宋体" w:hint="eastAsia"/>
          <w:sz w:val="24"/>
        </w:rPr>
        <w:t>/</w:t>
      </w:r>
      <w:r>
        <w:rPr>
          <w:rFonts w:ascii="宋体" w:hAnsi="宋体" w:cs="宋体" w:hint="eastAsia"/>
          <w:sz w:val="24"/>
        </w:rPr>
        <w:t>亩，水稻机插秧补贴、水稻良种补贴等也均有补贴力度上的提升，政策导向聚力、补贴操作简化、补贴力度加大等方式有效地带</w:t>
      </w:r>
      <w:r>
        <w:rPr>
          <w:rFonts w:ascii="宋体" w:hAnsi="宋体" w:cs="宋体" w:hint="eastAsia"/>
          <w:sz w:val="24"/>
        </w:rPr>
        <w:t>动了农户种植积极性，保证了农作物供给，</w:t>
      </w:r>
      <w:r>
        <w:rPr>
          <w:rFonts w:ascii="宋体" w:hAnsi="宋体" w:cs="宋体" w:hint="eastAsia"/>
          <w:sz w:val="24"/>
        </w:rPr>
        <w:t>2021</w:t>
      </w:r>
      <w:r>
        <w:rPr>
          <w:rFonts w:ascii="宋体" w:hAnsi="宋体" w:cs="宋体" w:hint="eastAsia"/>
          <w:sz w:val="24"/>
        </w:rPr>
        <w:t>年青浦区种植业总产值</w:t>
      </w:r>
      <w:r>
        <w:rPr>
          <w:rFonts w:ascii="宋体" w:hAnsi="宋体" w:cs="宋体" w:hint="eastAsia"/>
          <w:sz w:val="24"/>
        </w:rPr>
        <w:t>15.52</w:t>
      </w:r>
      <w:r>
        <w:rPr>
          <w:rFonts w:ascii="宋体" w:hAnsi="宋体" w:cs="宋体" w:hint="eastAsia"/>
          <w:sz w:val="24"/>
        </w:rPr>
        <w:t>亿元，较去年增长</w:t>
      </w:r>
      <w:r>
        <w:rPr>
          <w:rFonts w:ascii="宋体" w:hAnsi="宋体" w:cs="宋体" w:hint="eastAsia"/>
          <w:sz w:val="24"/>
        </w:rPr>
        <w:t>9.6%</w:t>
      </w:r>
      <w:r>
        <w:rPr>
          <w:rFonts w:ascii="宋体" w:hAnsi="宋体" w:cs="宋体" w:hint="eastAsia"/>
          <w:sz w:val="24"/>
        </w:rPr>
        <w:t>。水稻种植面积由</w:t>
      </w:r>
      <w:r>
        <w:rPr>
          <w:rFonts w:ascii="宋体" w:hAnsi="宋体" w:cs="宋体" w:hint="eastAsia"/>
          <w:sz w:val="24"/>
        </w:rPr>
        <w:t>2020</w:t>
      </w:r>
      <w:r>
        <w:rPr>
          <w:rFonts w:ascii="宋体" w:hAnsi="宋体" w:cs="宋体" w:hint="eastAsia"/>
          <w:sz w:val="24"/>
        </w:rPr>
        <w:t>年</w:t>
      </w:r>
      <w:r>
        <w:rPr>
          <w:rFonts w:ascii="宋体" w:hAnsi="宋体" w:cs="宋体" w:hint="eastAsia"/>
          <w:sz w:val="24"/>
        </w:rPr>
        <w:t>12.3</w:t>
      </w:r>
      <w:r>
        <w:rPr>
          <w:rFonts w:ascii="宋体" w:hAnsi="宋体" w:cs="宋体" w:hint="eastAsia"/>
          <w:sz w:val="24"/>
        </w:rPr>
        <w:t>万亩增长至</w:t>
      </w:r>
      <w:r>
        <w:rPr>
          <w:rFonts w:ascii="宋体" w:hAnsi="宋体" w:cs="宋体" w:hint="eastAsia"/>
          <w:sz w:val="24"/>
        </w:rPr>
        <w:t>12.47</w:t>
      </w:r>
      <w:r>
        <w:rPr>
          <w:rFonts w:ascii="宋体" w:hAnsi="宋体" w:cs="宋体" w:hint="eastAsia"/>
          <w:sz w:val="24"/>
        </w:rPr>
        <w:t>亩，增长比例</w:t>
      </w:r>
      <w:r>
        <w:rPr>
          <w:rFonts w:ascii="宋体" w:hAnsi="宋体" w:cs="宋体" w:hint="eastAsia"/>
          <w:sz w:val="24"/>
        </w:rPr>
        <w:t>1.39%</w:t>
      </w:r>
      <w:r>
        <w:rPr>
          <w:rFonts w:ascii="宋体" w:hAnsi="宋体" w:cs="宋体" w:hint="eastAsia"/>
          <w:sz w:val="24"/>
        </w:rPr>
        <w:t>，蔬菜种植面积</w:t>
      </w:r>
      <w:r>
        <w:rPr>
          <w:rFonts w:ascii="宋体" w:hAnsi="宋体" w:cs="宋体" w:hint="eastAsia"/>
          <w:sz w:val="24"/>
        </w:rPr>
        <w:t>43009</w:t>
      </w:r>
      <w:r>
        <w:rPr>
          <w:rFonts w:ascii="宋体" w:hAnsi="宋体" w:cs="宋体" w:hint="eastAsia"/>
          <w:sz w:val="24"/>
        </w:rPr>
        <w:t>亩，粮食总产量</w:t>
      </w:r>
      <w:r>
        <w:rPr>
          <w:rFonts w:ascii="宋体" w:hAnsi="宋体" w:cs="宋体" w:hint="eastAsia"/>
          <w:sz w:val="24"/>
        </w:rPr>
        <w:t>6.97</w:t>
      </w:r>
      <w:r>
        <w:rPr>
          <w:rFonts w:ascii="宋体" w:hAnsi="宋体" w:cs="宋体" w:hint="eastAsia"/>
          <w:sz w:val="24"/>
        </w:rPr>
        <w:t>万吨，较去年增长</w:t>
      </w:r>
      <w:r>
        <w:rPr>
          <w:rFonts w:ascii="宋体" w:hAnsi="宋体" w:cs="宋体" w:hint="eastAsia"/>
          <w:sz w:val="24"/>
        </w:rPr>
        <w:t>2.9%</w:t>
      </w:r>
      <w:r>
        <w:rPr>
          <w:rFonts w:ascii="宋体" w:hAnsi="宋体" w:cs="宋体" w:hint="eastAsia"/>
          <w:sz w:val="24"/>
        </w:rPr>
        <w:t>，蔬菜上市量</w:t>
      </w:r>
      <w:r>
        <w:rPr>
          <w:rFonts w:ascii="宋体" w:hAnsi="宋体" w:cs="宋体" w:hint="eastAsia"/>
          <w:sz w:val="24"/>
        </w:rPr>
        <w:t>38.81</w:t>
      </w:r>
      <w:r>
        <w:rPr>
          <w:rFonts w:ascii="宋体" w:hAnsi="宋体" w:cs="宋体" w:hint="eastAsia"/>
          <w:sz w:val="24"/>
        </w:rPr>
        <w:t>万吨，较去年增长</w:t>
      </w:r>
      <w:r>
        <w:rPr>
          <w:rFonts w:ascii="宋体" w:hAnsi="宋体" w:cs="宋体" w:hint="eastAsia"/>
          <w:sz w:val="24"/>
        </w:rPr>
        <w:t>0.2%</w:t>
      </w:r>
      <w:r>
        <w:rPr>
          <w:rFonts w:ascii="宋体" w:hAnsi="宋体" w:cs="宋体" w:hint="eastAsia"/>
          <w:sz w:val="24"/>
        </w:rPr>
        <w:t>，其中绿叶菜上市量</w:t>
      </w:r>
      <w:r>
        <w:rPr>
          <w:rFonts w:ascii="宋体" w:hAnsi="宋体" w:cs="宋体" w:hint="eastAsia"/>
          <w:sz w:val="24"/>
        </w:rPr>
        <w:t>24.08</w:t>
      </w:r>
      <w:r>
        <w:rPr>
          <w:rFonts w:ascii="宋体" w:hAnsi="宋体" w:cs="宋体" w:hint="eastAsia"/>
          <w:sz w:val="24"/>
        </w:rPr>
        <w:t>万吨，较去年增长</w:t>
      </w:r>
      <w:r>
        <w:rPr>
          <w:rFonts w:ascii="宋体" w:hAnsi="宋体" w:cs="宋体" w:hint="eastAsia"/>
          <w:sz w:val="24"/>
        </w:rPr>
        <w:t>2.9%</w:t>
      </w:r>
      <w:r>
        <w:rPr>
          <w:rFonts w:ascii="宋体" w:hAnsi="宋体" w:cs="宋体" w:hint="eastAsia"/>
          <w:sz w:val="24"/>
        </w:rPr>
        <w:t>。</w:t>
      </w:r>
    </w:p>
    <w:p w:rsidR="0014796B" w:rsidRDefault="00CE138C" w:rsidP="001F2E4F">
      <w:pPr>
        <w:spacing w:afterLines="50" w:line="360" w:lineRule="auto"/>
        <w:ind w:firstLineChars="200" w:firstLine="480"/>
        <w:outlineLvl w:val="2"/>
        <w:rPr>
          <w:rFonts w:ascii="宋体" w:hAnsi="宋体" w:cs="宋体"/>
          <w:sz w:val="24"/>
        </w:rPr>
      </w:pPr>
      <w:r>
        <w:rPr>
          <w:rFonts w:ascii="宋体" w:hAnsi="宋体" w:cs="宋体" w:hint="eastAsia"/>
          <w:sz w:val="24"/>
        </w:rPr>
        <w:t>2.</w:t>
      </w:r>
      <w:r>
        <w:rPr>
          <w:rFonts w:ascii="宋体" w:hAnsi="宋体" w:cs="宋体" w:hint="eastAsia"/>
          <w:sz w:val="24"/>
        </w:rPr>
        <w:t>龙头企业引领为主，规模经营引导为辅，进一步加深了区内农业规模化进程</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通过规模经营补贴政策的引导，青浦农业紧扣产业发展特色，聚焦企业发展，以龙头企业为引领，通过“龙头企业</w:t>
      </w:r>
      <w:r>
        <w:rPr>
          <w:rFonts w:ascii="宋体" w:hAnsi="宋体" w:cs="宋体" w:hint="eastAsia"/>
          <w:sz w:val="24"/>
        </w:rPr>
        <w:t>+</w:t>
      </w:r>
      <w:r>
        <w:rPr>
          <w:rFonts w:ascii="宋体" w:hAnsi="宋体" w:cs="宋体" w:hint="eastAsia"/>
          <w:sz w:val="24"/>
        </w:rPr>
        <w:t>合作社</w:t>
      </w:r>
      <w:r>
        <w:rPr>
          <w:rFonts w:ascii="宋体" w:hAnsi="宋体" w:cs="宋体" w:hint="eastAsia"/>
          <w:sz w:val="24"/>
        </w:rPr>
        <w:t>+</w:t>
      </w:r>
      <w:r>
        <w:rPr>
          <w:rFonts w:ascii="宋体" w:hAnsi="宋体" w:cs="宋体" w:hint="eastAsia"/>
          <w:sz w:val="24"/>
        </w:rPr>
        <w:t>专业户”的产销一体化模式，进一</w:t>
      </w:r>
      <w:r>
        <w:rPr>
          <w:rFonts w:ascii="宋体" w:hAnsi="宋体" w:cs="宋体" w:hint="eastAsia"/>
          <w:sz w:val="24"/>
        </w:rPr>
        <w:lastRenderedPageBreak/>
        <w:t>步增强合作社的经济实力、发展活力和带动能力，开展农民合作社质量提升整区推进试点创建工作，至</w:t>
      </w:r>
      <w:r>
        <w:rPr>
          <w:rFonts w:ascii="宋体" w:hAnsi="宋体" w:cs="宋体" w:hint="eastAsia"/>
          <w:sz w:val="24"/>
        </w:rPr>
        <w:t>2020</w:t>
      </w:r>
      <w:r>
        <w:rPr>
          <w:rFonts w:ascii="宋体" w:hAnsi="宋体" w:cs="宋体" w:hint="eastAsia"/>
          <w:sz w:val="24"/>
        </w:rPr>
        <w:t>年底规模化自主经营主体</w:t>
      </w:r>
      <w:r>
        <w:rPr>
          <w:rFonts w:ascii="宋体" w:hAnsi="宋体" w:cs="宋体" w:hint="eastAsia"/>
          <w:sz w:val="24"/>
        </w:rPr>
        <w:t>500</w:t>
      </w:r>
      <w:r>
        <w:rPr>
          <w:rFonts w:ascii="宋体" w:hAnsi="宋体" w:cs="宋体" w:hint="eastAsia"/>
          <w:sz w:val="24"/>
        </w:rPr>
        <w:t>家，面积为</w:t>
      </w:r>
      <w:r>
        <w:rPr>
          <w:rFonts w:ascii="宋体" w:hAnsi="宋体" w:cs="宋体" w:hint="eastAsia"/>
          <w:sz w:val="24"/>
        </w:rPr>
        <w:t>106578.72</w:t>
      </w:r>
      <w:r>
        <w:rPr>
          <w:rFonts w:ascii="宋体" w:hAnsi="宋体" w:cs="宋体" w:hint="eastAsia"/>
          <w:sz w:val="24"/>
        </w:rPr>
        <w:t>亩，至</w:t>
      </w:r>
      <w:r>
        <w:rPr>
          <w:rFonts w:ascii="宋体" w:hAnsi="宋体" w:cs="宋体" w:hint="eastAsia"/>
          <w:sz w:val="24"/>
        </w:rPr>
        <w:t>2021</w:t>
      </w:r>
      <w:r>
        <w:rPr>
          <w:rFonts w:ascii="宋体" w:hAnsi="宋体" w:cs="宋体" w:hint="eastAsia"/>
          <w:sz w:val="24"/>
        </w:rPr>
        <w:t>年底规模化自主经营主体</w:t>
      </w:r>
      <w:r>
        <w:rPr>
          <w:rFonts w:ascii="宋体" w:hAnsi="宋体" w:cs="宋体" w:hint="eastAsia"/>
          <w:sz w:val="24"/>
        </w:rPr>
        <w:t>476</w:t>
      </w:r>
      <w:r>
        <w:rPr>
          <w:rFonts w:ascii="宋体" w:hAnsi="宋体" w:cs="宋体" w:hint="eastAsia"/>
          <w:sz w:val="24"/>
        </w:rPr>
        <w:t>家，面积为</w:t>
      </w:r>
      <w:r>
        <w:rPr>
          <w:rFonts w:ascii="宋体" w:hAnsi="宋体" w:cs="宋体" w:hint="eastAsia"/>
          <w:sz w:val="24"/>
        </w:rPr>
        <w:t>113983.31</w:t>
      </w:r>
      <w:r>
        <w:rPr>
          <w:rFonts w:ascii="宋体" w:hAnsi="宋体" w:cs="宋体" w:hint="eastAsia"/>
          <w:sz w:val="24"/>
        </w:rPr>
        <w:t>亩，规模化自主经营面积增长量</w:t>
      </w:r>
      <w:r>
        <w:rPr>
          <w:rFonts w:ascii="宋体" w:hAnsi="宋体" w:cs="宋体" w:hint="eastAsia"/>
          <w:sz w:val="24"/>
        </w:rPr>
        <w:t>7404.59</w:t>
      </w:r>
      <w:r>
        <w:rPr>
          <w:rFonts w:ascii="宋体" w:hAnsi="宋体" w:cs="宋体" w:hint="eastAsia"/>
          <w:sz w:val="24"/>
        </w:rPr>
        <w:t>亩，规模化效益进一步体现。</w:t>
      </w:r>
      <w:r>
        <w:rPr>
          <w:rFonts w:ascii="宋体" w:hAnsi="宋体" w:cs="宋体" w:hint="eastAsia"/>
          <w:sz w:val="24"/>
        </w:rPr>
        <w:t>2021</w:t>
      </w:r>
      <w:r>
        <w:rPr>
          <w:rFonts w:ascii="宋体" w:hAnsi="宋体" w:cs="宋体" w:hint="eastAsia"/>
          <w:sz w:val="24"/>
        </w:rPr>
        <w:t>年，青浦已建成农业龙头企业</w:t>
      </w:r>
      <w:r>
        <w:rPr>
          <w:rFonts w:ascii="宋体" w:hAnsi="宋体" w:cs="宋体" w:hint="eastAsia"/>
          <w:sz w:val="24"/>
        </w:rPr>
        <w:t>18</w:t>
      </w:r>
      <w:r>
        <w:rPr>
          <w:rFonts w:ascii="宋体" w:hAnsi="宋体" w:cs="宋体" w:hint="eastAsia"/>
          <w:sz w:val="24"/>
        </w:rPr>
        <w:t>家，星级农民专业合作社</w:t>
      </w:r>
      <w:r>
        <w:rPr>
          <w:rFonts w:ascii="宋体" w:hAnsi="宋体" w:cs="宋体" w:hint="eastAsia"/>
          <w:sz w:val="24"/>
        </w:rPr>
        <w:t>160</w:t>
      </w:r>
      <w:r>
        <w:rPr>
          <w:rFonts w:ascii="宋体" w:hAnsi="宋体" w:cs="宋体" w:hint="eastAsia"/>
          <w:sz w:val="24"/>
        </w:rPr>
        <w:t>家，家庭农场</w:t>
      </w:r>
      <w:r>
        <w:rPr>
          <w:rFonts w:ascii="宋体" w:hAnsi="宋体" w:cs="宋体" w:hint="eastAsia"/>
          <w:sz w:val="24"/>
        </w:rPr>
        <w:t>4</w:t>
      </w:r>
      <w:r>
        <w:rPr>
          <w:rFonts w:ascii="宋体" w:hAnsi="宋体" w:cs="宋体" w:hint="eastAsia"/>
          <w:sz w:val="24"/>
        </w:rPr>
        <w:t>00</w:t>
      </w:r>
      <w:r>
        <w:rPr>
          <w:rFonts w:ascii="宋体" w:hAnsi="宋体" w:cs="宋体" w:hint="eastAsia"/>
          <w:sz w:val="24"/>
        </w:rPr>
        <w:t>家；粮食规模经营占比</w:t>
      </w:r>
      <w:r>
        <w:rPr>
          <w:rFonts w:ascii="宋体" w:hAnsi="宋体" w:cs="宋体" w:hint="eastAsia"/>
          <w:sz w:val="24"/>
        </w:rPr>
        <w:t>90%</w:t>
      </w:r>
      <w:r>
        <w:rPr>
          <w:rFonts w:ascii="宋体" w:hAnsi="宋体" w:cs="宋体" w:hint="eastAsia"/>
          <w:sz w:val="24"/>
        </w:rPr>
        <w:t>以上，蔬菜组织化经营占比</w:t>
      </w:r>
      <w:r>
        <w:rPr>
          <w:rFonts w:ascii="宋体" w:hAnsi="宋体" w:cs="宋体" w:hint="eastAsia"/>
          <w:sz w:val="24"/>
        </w:rPr>
        <w:t>86%</w:t>
      </w:r>
      <w:r>
        <w:rPr>
          <w:rFonts w:ascii="宋体" w:hAnsi="宋体" w:cs="宋体" w:hint="eastAsia"/>
          <w:sz w:val="24"/>
        </w:rPr>
        <w:t>，农业规模化生产显著提高。</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四、存在的问题及原因分析</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（一）政策部分条款及管理要求有所缺失，监管机制不够健全</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经统计，</w:t>
      </w:r>
      <w:r>
        <w:rPr>
          <w:rFonts w:ascii="宋体" w:hAnsi="宋体" w:cs="宋体" w:hint="eastAsia"/>
          <w:sz w:val="24"/>
        </w:rPr>
        <w:t>2020</w:t>
      </w:r>
      <w:r>
        <w:rPr>
          <w:rFonts w:ascii="宋体" w:hAnsi="宋体" w:cs="宋体" w:hint="eastAsia"/>
          <w:sz w:val="24"/>
        </w:rPr>
        <w:t>、</w:t>
      </w:r>
      <w:r>
        <w:rPr>
          <w:rFonts w:ascii="宋体" w:hAnsi="宋体" w:cs="宋体" w:hint="eastAsia"/>
          <w:sz w:val="24"/>
        </w:rPr>
        <w:t>2021</w:t>
      </w:r>
      <w:r>
        <w:rPr>
          <w:rFonts w:ascii="宋体" w:hAnsi="宋体" w:cs="宋体" w:hint="eastAsia"/>
          <w:sz w:val="24"/>
        </w:rPr>
        <w:t>年农作物生产补贴以及规模经营补贴分别出现了</w:t>
      </w:r>
      <w:r>
        <w:rPr>
          <w:rFonts w:ascii="宋体" w:hAnsi="宋体" w:cs="宋体" w:hint="eastAsia"/>
          <w:sz w:val="24"/>
        </w:rPr>
        <w:t>174</w:t>
      </w:r>
      <w:r>
        <w:rPr>
          <w:rFonts w:ascii="宋体" w:hAnsi="宋体" w:cs="宋体" w:hint="eastAsia"/>
          <w:sz w:val="24"/>
        </w:rPr>
        <w:t>笔和</w:t>
      </w:r>
      <w:r>
        <w:rPr>
          <w:rFonts w:ascii="宋体" w:hAnsi="宋体" w:cs="宋体" w:hint="eastAsia"/>
          <w:sz w:val="24"/>
        </w:rPr>
        <w:t>45</w:t>
      </w:r>
      <w:r>
        <w:rPr>
          <w:rFonts w:ascii="宋体" w:hAnsi="宋体" w:cs="宋体" w:hint="eastAsia"/>
          <w:sz w:val="24"/>
        </w:rPr>
        <w:t>笔因农户信息错误导致“退票”的补贴“退票”笔数，“退票”资金分别为</w:t>
      </w:r>
      <w:r>
        <w:rPr>
          <w:rFonts w:ascii="宋体" w:hAnsi="宋体" w:cs="宋体" w:hint="eastAsia"/>
          <w:sz w:val="24"/>
        </w:rPr>
        <w:t>174.63</w:t>
      </w:r>
      <w:r>
        <w:rPr>
          <w:rFonts w:ascii="宋体" w:hAnsi="宋体" w:cs="宋体" w:hint="eastAsia"/>
          <w:sz w:val="24"/>
        </w:rPr>
        <w:t>万、</w:t>
      </w:r>
      <w:r>
        <w:rPr>
          <w:rFonts w:ascii="宋体" w:hAnsi="宋体" w:cs="宋体" w:hint="eastAsia"/>
          <w:sz w:val="24"/>
        </w:rPr>
        <w:t>170.77</w:t>
      </w:r>
      <w:r>
        <w:rPr>
          <w:rFonts w:ascii="宋体" w:hAnsi="宋体" w:cs="宋体" w:hint="eastAsia"/>
          <w:sz w:val="24"/>
        </w:rPr>
        <w:t>万元，“退票”的问题也导致了该部分补贴未能在预期时间内拨付至农户，造成这种情况由两种原因导致，具体如下：</w:t>
      </w:r>
    </w:p>
    <w:p w:rsidR="0014796B" w:rsidRDefault="00CE138C" w:rsidP="001F2E4F">
      <w:pPr>
        <w:spacing w:afterLines="50" w:line="360" w:lineRule="auto"/>
        <w:ind w:firstLineChars="200" w:firstLine="480"/>
        <w:outlineLvl w:val="2"/>
        <w:rPr>
          <w:rFonts w:ascii="宋体" w:hAnsi="宋体" w:cs="宋体"/>
          <w:sz w:val="24"/>
        </w:rPr>
      </w:pPr>
      <w:r>
        <w:rPr>
          <w:rFonts w:ascii="宋体" w:hAnsi="宋体" w:cs="宋体" w:hint="eastAsia"/>
          <w:sz w:val="24"/>
        </w:rPr>
        <w:t>1.</w:t>
      </w:r>
      <w:r>
        <w:rPr>
          <w:rFonts w:ascii="宋体" w:hAnsi="宋体" w:cs="宋体" w:hint="eastAsia"/>
          <w:sz w:val="24"/>
        </w:rPr>
        <w:t>政策关于农户信息审核的要求和“退票”处理程序不明确</w:t>
      </w:r>
      <w:r>
        <w:rPr>
          <w:rFonts w:ascii="宋体" w:hAnsi="宋体" w:cs="宋体" w:hint="eastAsia"/>
          <w:sz w:val="24"/>
        </w:rPr>
        <w:tab/>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①</w:t>
      </w:r>
      <w:r>
        <w:rPr>
          <w:rFonts w:ascii="宋体" w:hAnsi="宋体" w:cs="宋体" w:hint="eastAsia"/>
          <w:sz w:val="24"/>
        </w:rPr>
        <w:t>农户信息审核要求不明确：目前《管理办法》以及两项细则中对于审核材料的要求主要针对补贴面积，但没有要求申报对象必须提供可供核实的补贴农户名称或姓名、银行账号、开户银行等影响转账成功的关键信息的佐证材料，导致街镇层面在审核农户信息过程中缺少审核抓手，只能通过对银行账号位数核对或以账号开头判断农户是个体还是合作社等方式进行较为简单的审核，无法保证信息的准确性，最终导致了</w:t>
      </w:r>
      <w:r>
        <w:rPr>
          <w:rFonts w:ascii="宋体" w:hAnsi="宋体" w:cs="宋体" w:hint="eastAsia"/>
          <w:sz w:val="24"/>
        </w:rPr>
        <w:t>2020</w:t>
      </w:r>
      <w:r>
        <w:rPr>
          <w:rFonts w:ascii="宋体" w:hAnsi="宋体" w:cs="宋体" w:hint="eastAsia"/>
          <w:sz w:val="24"/>
        </w:rPr>
        <w:t>至</w:t>
      </w:r>
      <w:r>
        <w:rPr>
          <w:rFonts w:ascii="宋体" w:hAnsi="宋体" w:cs="宋体" w:hint="eastAsia"/>
          <w:sz w:val="24"/>
        </w:rPr>
        <w:t>2021</w:t>
      </w:r>
      <w:r>
        <w:rPr>
          <w:rFonts w:ascii="宋体" w:hAnsi="宋体" w:cs="宋体" w:hint="eastAsia"/>
          <w:sz w:val="24"/>
        </w:rPr>
        <w:t>年</w:t>
      </w:r>
      <w:r>
        <w:rPr>
          <w:rFonts w:ascii="宋体" w:hAnsi="宋体" w:cs="宋体" w:hint="eastAsia"/>
          <w:sz w:val="24"/>
        </w:rPr>
        <w:t>12</w:t>
      </w:r>
      <w:r>
        <w:rPr>
          <w:rFonts w:ascii="宋体" w:hAnsi="宋体" w:cs="宋体" w:hint="eastAsia"/>
          <w:sz w:val="24"/>
        </w:rPr>
        <w:t>个街镇及农业园区中的</w:t>
      </w:r>
      <w:r>
        <w:rPr>
          <w:rFonts w:ascii="宋体" w:hAnsi="宋体" w:cs="宋体" w:hint="eastAsia"/>
          <w:sz w:val="24"/>
        </w:rPr>
        <w:t>8</w:t>
      </w:r>
      <w:r>
        <w:rPr>
          <w:rFonts w:ascii="宋体" w:hAnsi="宋体" w:cs="宋体" w:hint="eastAsia"/>
          <w:sz w:val="24"/>
        </w:rPr>
        <w:t>个街镇出现了“退票”，具体情况可见表</w:t>
      </w:r>
      <w:r>
        <w:rPr>
          <w:rFonts w:ascii="宋体" w:hAnsi="宋体" w:cs="宋体" w:hint="eastAsia"/>
          <w:sz w:val="24"/>
        </w:rPr>
        <w:t>6-1</w:t>
      </w:r>
      <w:r>
        <w:rPr>
          <w:rFonts w:ascii="宋体" w:hAnsi="宋体" w:cs="宋体" w:hint="eastAsia"/>
          <w:sz w:val="24"/>
        </w:rPr>
        <w:t>。</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②“退票”程序不明确：目前《管理办法》以及两项细则中缺</w:t>
      </w:r>
      <w:r>
        <w:rPr>
          <w:rFonts w:ascii="宋体" w:hAnsi="宋体" w:cs="宋体" w:hint="eastAsia"/>
          <w:sz w:val="24"/>
        </w:rPr>
        <w:t>少“退票”或退回资金责任主体和处理方式等管理要求，在实际操作过程中补贴“退票”资金通过村、镇重新核实信息后上报区农业农村委，再由其下达“退票”后重新发放的通知并拨付“退票”资金至农户，</w:t>
      </w:r>
      <w:r>
        <w:rPr>
          <w:rFonts w:ascii="宋体" w:hAnsi="宋体" w:cs="宋体" w:hint="eastAsia"/>
          <w:sz w:val="24"/>
        </w:rPr>
        <w:t>2020</w:t>
      </w:r>
      <w:r>
        <w:rPr>
          <w:rFonts w:ascii="宋体" w:hAnsi="宋体" w:cs="宋体" w:hint="eastAsia"/>
          <w:sz w:val="24"/>
        </w:rPr>
        <w:t>和</w:t>
      </w:r>
      <w:r>
        <w:rPr>
          <w:rFonts w:ascii="宋体" w:hAnsi="宋体" w:cs="宋体" w:hint="eastAsia"/>
          <w:sz w:val="24"/>
        </w:rPr>
        <w:t>2021</w:t>
      </w:r>
      <w:r>
        <w:rPr>
          <w:rFonts w:ascii="宋体" w:hAnsi="宋体" w:cs="宋体" w:hint="eastAsia"/>
          <w:sz w:val="24"/>
        </w:rPr>
        <w:t>年采用了不同方式拨付“退票”资金，其中</w:t>
      </w:r>
      <w:r>
        <w:rPr>
          <w:rFonts w:ascii="宋体" w:hAnsi="宋体" w:cs="宋体" w:hint="eastAsia"/>
          <w:sz w:val="24"/>
        </w:rPr>
        <w:t>2020</w:t>
      </w:r>
      <w:r>
        <w:rPr>
          <w:rFonts w:ascii="宋体" w:hAnsi="宋体" w:cs="宋体" w:hint="eastAsia"/>
          <w:sz w:val="24"/>
        </w:rPr>
        <w:t>年“退票”资金下拨至镇农业综合服务中心或街道社区发展服务中心及上海青浦现代农业园区发展有限公司后再拨付至纠正后农户账户，</w:t>
      </w:r>
      <w:r>
        <w:rPr>
          <w:rFonts w:ascii="宋体" w:hAnsi="宋体" w:cs="宋体" w:hint="eastAsia"/>
          <w:sz w:val="24"/>
        </w:rPr>
        <w:t>2021</w:t>
      </w:r>
      <w:r>
        <w:rPr>
          <w:rFonts w:ascii="宋体" w:hAnsi="宋体" w:cs="宋体" w:hint="eastAsia"/>
          <w:sz w:val="24"/>
        </w:rPr>
        <w:t>年除规模经营补贴外其他补贴均由区级直接拨付至农户，“退票”资金管理要求</w:t>
      </w:r>
      <w:r>
        <w:rPr>
          <w:rFonts w:ascii="宋体" w:hAnsi="宋体" w:cs="宋体" w:hint="eastAsia"/>
          <w:sz w:val="24"/>
        </w:rPr>
        <w:lastRenderedPageBreak/>
        <w:t>不明确，操作方式变动均不利于政策的有效执行。</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2.</w:t>
      </w:r>
      <w:r>
        <w:rPr>
          <w:rFonts w:ascii="宋体" w:hAnsi="宋体" w:cs="宋体" w:hint="eastAsia"/>
          <w:sz w:val="24"/>
        </w:rPr>
        <w:t>监管和沟通机制不</w:t>
      </w:r>
      <w:r>
        <w:rPr>
          <w:rFonts w:ascii="宋体" w:hAnsi="宋体" w:cs="宋体" w:hint="eastAsia"/>
          <w:sz w:val="24"/>
        </w:rPr>
        <w:t>够健全</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目前文件中对于街镇、村级出现信息不实、审核不严等情况使得监管机制不够健全，且区对镇、村对错误信息没有及时进行纠偏，监管和沟通机制存在缺失，经项目组核对发现，有</w:t>
      </w:r>
      <w:r>
        <w:rPr>
          <w:rFonts w:ascii="宋体" w:hAnsi="宋体" w:cs="宋体" w:hint="eastAsia"/>
          <w:sz w:val="24"/>
        </w:rPr>
        <w:t>3</w:t>
      </w:r>
      <w:r>
        <w:rPr>
          <w:rFonts w:ascii="宋体" w:hAnsi="宋体" w:cs="宋体" w:hint="eastAsia"/>
          <w:sz w:val="24"/>
        </w:rPr>
        <w:t>个镇在</w:t>
      </w:r>
      <w:r>
        <w:rPr>
          <w:rFonts w:ascii="宋体" w:hAnsi="宋体" w:cs="宋体" w:hint="eastAsia"/>
          <w:sz w:val="24"/>
        </w:rPr>
        <w:t>2020</w:t>
      </w:r>
      <w:r>
        <w:rPr>
          <w:rFonts w:ascii="宋体" w:hAnsi="宋体" w:cs="宋体" w:hint="eastAsia"/>
          <w:sz w:val="24"/>
        </w:rPr>
        <w:t>、</w:t>
      </w:r>
      <w:r>
        <w:rPr>
          <w:rFonts w:ascii="宋体" w:hAnsi="宋体" w:cs="宋体" w:hint="eastAsia"/>
          <w:sz w:val="24"/>
        </w:rPr>
        <w:t>2021</w:t>
      </w:r>
      <w:r>
        <w:rPr>
          <w:rFonts w:ascii="宋体" w:hAnsi="宋体" w:cs="宋体" w:hint="eastAsia"/>
          <w:sz w:val="24"/>
        </w:rPr>
        <w:t>年出现相同农户信息重复错误的情况，导致两年都发生“退票”。</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（二）规模经营考核表内部分考核标准不够科学合理</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据项目组了解，考核工作以街镇自查为主，区级按一定比例对各街镇考核情况进行抽查，但实际操作过程中街镇对部分考核内容的给分偏于主观，存在部分“否则不得分”的考核内容得到部分分数的情况。其主要原因是部分考核内容的考核标准不清晰，部分评分标准理论上只有满分和</w:t>
      </w:r>
      <w:r>
        <w:rPr>
          <w:rFonts w:ascii="宋体" w:hAnsi="宋体" w:cs="宋体" w:hint="eastAsia"/>
          <w:sz w:val="24"/>
        </w:rPr>
        <w:t>0</w:t>
      </w:r>
      <w:r>
        <w:rPr>
          <w:rFonts w:ascii="宋体" w:hAnsi="宋体" w:cs="宋体" w:hint="eastAsia"/>
          <w:sz w:val="24"/>
        </w:rPr>
        <w:t>分，中间缺少分层、分段式过渡，如经营状况的评分标准为“有规范、详实会计账目或有成本收入明细得满分，否则不得分”等，评分标准不清晰且涉及权重分较高，考核标准的科学性、合理性有待提高。此外，在同一考核标准上水稻和蔬菜的扣分要求存在不一致。如有机肥、配方肥和缓释肥使</w:t>
      </w:r>
      <w:r>
        <w:rPr>
          <w:rFonts w:ascii="宋体" w:hAnsi="宋体" w:cs="宋体" w:hint="eastAsia"/>
          <w:sz w:val="24"/>
        </w:rPr>
        <w:t>用要求项中，水稻考核的评分标准为“达到目标得满分，否则相应扣分”，而蔬菜考核则为“否则扣分”。</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五、评价建议</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（一）进一步完善政策条款，明确细化农户信息审核及“退票”资金的管理要求</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建议区农业农村委今后进一步完善政策中对于农户信息审核要求以及约束条款，明确基层审核过程中需提供的农户信息相关材料，加强对村委、街镇农户信息的审核管理，可以与基层农业管理单位协调，定期做好种植户、经营主体信息的登记，或通过与“神农口袋”或其他系统平台进行联动，动态监控所辖区域内农业种植户信息及种植情况，减少中间环节录入出现的错误等</w:t>
      </w:r>
      <w:r>
        <w:rPr>
          <w:rFonts w:ascii="宋体" w:hAnsi="宋体" w:cs="宋体" w:hint="eastAsia"/>
          <w:sz w:val="24"/>
        </w:rPr>
        <w:t>方式，减少“退票”情况出现，保证财政资金的使用效率。同时，明确在出现信息不实、审核不严等情况时的责任归属，建议加入以区级核查结果为依据，对于街镇多报、错报面积信息以及农户信息核对错误情况较多，予以一定比例区级补贴资金核减，资</w:t>
      </w:r>
      <w:r>
        <w:rPr>
          <w:rFonts w:ascii="宋体" w:hAnsi="宋体" w:cs="宋体" w:hint="eastAsia"/>
          <w:sz w:val="24"/>
        </w:rPr>
        <w:lastRenderedPageBreak/>
        <w:t>金缺口由相关街镇承担，少报、漏报补贴面积、数量由所在街镇自行承担等相关约束条款，对基层单位在申报及审核上进行一定制约。</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此外，建议区农业农村委在政策中明确细化资金跟踪及“退票”资金管理要求，要求街镇定期上报街镇配套以及“退票”资金的拨付情况，并定期开展资金备案、清查、清算工作，及时、有效</w:t>
      </w:r>
      <w:r>
        <w:rPr>
          <w:rFonts w:ascii="宋体" w:hAnsi="宋体" w:cs="宋体" w:hint="eastAsia"/>
          <w:sz w:val="24"/>
        </w:rPr>
        <w:t>地掌握相关资金情况，有利于加强落实街镇层级资金的监管，同时也方便以清查、清算结果为依据安排和调整相关年度预算。</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（二）优化规模经营考核表内考核标准及评分细则</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建议区农业农村委对规模经营考核表内的考核标准及评分细则进行优化调整，统一水稻、蔬菜考核相同考核内容下的权重，并减少“非黑即白”的评分标准，将评分标准尽可能量化以更好地通过数据或客观情况给予考核打分，避免各街镇在考核过程中出现“手势”不一致的情况，也可通过委托具有相关资质的第三方机构开展考核工作。</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六、其他建议</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（一）政策调整建议</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据了解，规模经营补贴是</w:t>
      </w:r>
      <w:r>
        <w:rPr>
          <w:rFonts w:ascii="宋体" w:hAnsi="宋体" w:cs="宋体" w:hint="eastAsia"/>
          <w:sz w:val="24"/>
        </w:rPr>
        <w:t>根据《关于加快推进农业适度规模经营的实施意见的通知》（青府办发〔</w:t>
      </w:r>
      <w:r>
        <w:rPr>
          <w:rFonts w:ascii="宋体" w:hAnsi="宋体" w:cs="宋体" w:hint="eastAsia"/>
          <w:sz w:val="24"/>
        </w:rPr>
        <w:t>2013</w:t>
      </w:r>
      <w:r>
        <w:rPr>
          <w:rFonts w:ascii="宋体" w:hAnsi="宋体" w:cs="宋体" w:hint="eastAsia"/>
          <w:sz w:val="24"/>
        </w:rPr>
        <w:t>〕</w:t>
      </w:r>
      <w:r>
        <w:rPr>
          <w:rFonts w:ascii="宋体" w:hAnsi="宋体" w:cs="宋体" w:hint="eastAsia"/>
          <w:sz w:val="24"/>
        </w:rPr>
        <w:t>10</w:t>
      </w:r>
      <w:r>
        <w:rPr>
          <w:rFonts w:ascii="宋体" w:hAnsi="宋体" w:cs="宋体" w:hint="eastAsia"/>
          <w:sz w:val="24"/>
        </w:rPr>
        <w:t>号）立项，并于</w:t>
      </w:r>
      <w:r>
        <w:rPr>
          <w:rFonts w:ascii="宋体" w:hAnsi="宋体" w:cs="宋体" w:hint="eastAsia"/>
          <w:sz w:val="24"/>
        </w:rPr>
        <w:t>2020</w:t>
      </w:r>
      <w:r>
        <w:rPr>
          <w:rFonts w:ascii="宋体" w:hAnsi="宋体" w:cs="宋体" w:hint="eastAsia"/>
          <w:sz w:val="24"/>
        </w:rPr>
        <w:t>年进行了修订。</w:t>
      </w:r>
      <w:r>
        <w:rPr>
          <w:rFonts w:ascii="宋体" w:hAnsi="宋体" w:cs="宋体" w:hint="eastAsia"/>
          <w:sz w:val="24"/>
        </w:rPr>
        <w:t>2021</w:t>
      </w:r>
      <w:r>
        <w:rPr>
          <w:rFonts w:ascii="宋体" w:hAnsi="宋体" w:cs="宋体" w:hint="eastAsia"/>
          <w:sz w:val="24"/>
        </w:rPr>
        <w:t>年，青浦区规模经营补贴资金占当年度农业绿色补贴资金比例为</w:t>
      </w:r>
      <w:r>
        <w:rPr>
          <w:rFonts w:ascii="宋体" w:hAnsi="宋体" w:cs="宋体" w:hint="eastAsia"/>
          <w:sz w:val="24"/>
        </w:rPr>
        <w:t>22.88%</w:t>
      </w:r>
      <w:r>
        <w:rPr>
          <w:rFonts w:ascii="宋体" w:hAnsi="宋体" w:cs="宋体" w:hint="eastAsia"/>
          <w:sz w:val="24"/>
        </w:rPr>
        <w:t>，且近两年占比不断随规模化面积的增加而提升，鉴于区规模经营水平已达到较高水平，政策引导力度可适当降低，并将重心转变为引导农户绿色生产而不是一味追求规模经营面积的提升。</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根据</w:t>
      </w:r>
      <w:r>
        <w:rPr>
          <w:rFonts w:ascii="宋体" w:hAnsi="宋体" w:cs="宋体" w:hint="eastAsia"/>
          <w:sz w:val="24"/>
        </w:rPr>
        <w:t>2021</w:t>
      </w:r>
      <w:r>
        <w:rPr>
          <w:rFonts w:ascii="宋体" w:hAnsi="宋体" w:cs="宋体" w:hint="eastAsia"/>
          <w:sz w:val="24"/>
        </w:rPr>
        <w:t>年市农业农村委出台的《上海市农业绿色生产补贴资金管理办法》（沪农委规〔</w:t>
      </w:r>
      <w:r>
        <w:rPr>
          <w:rFonts w:ascii="宋体" w:hAnsi="宋体" w:cs="宋体" w:hint="eastAsia"/>
          <w:sz w:val="24"/>
        </w:rPr>
        <w:t>2021</w:t>
      </w:r>
      <w:r>
        <w:rPr>
          <w:rFonts w:ascii="宋体" w:hAnsi="宋体" w:cs="宋体" w:hint="eastAsia"/>
          <w:sz w:val="24"/>
        </w:rPr>
        <w:t>〕</w:t>
      </w:r>
      <w:r>
        <w:rPr>
          <w:rFonts w:ascii="宋体" w:hAnsi="宋体" w:cs="宋体" w:hint="eastAsia"/>
          <w:sz w:val="24"/>
        </w:rPr>
        <w:t>3</w:t>
      </w:r>
      <w:r>
        <w:rPr>
          <w:rFonts w:ascii="宋体" w:hAnsi="宋体" w:cs="宋体" w:hint="eastAsia"/>
          <w:sz w:val="24"/>
        </w:rPr>
        <w:t>号）要求，市级层面已不再将适度规模化作为农业绿色生产补贴的资</w:t>
      </w:r>
      <w:r>
        <w:rPr>
          <w:rFonts w:ascii="宋体" w:hAnsi="宋体" w:cs="宋体" w:hint="eastAsia"/>
          <w:sz w:val="24"/>
        </w:rPr>
        <w:t>金支持对象，转而将农业创新示范奖补列为资金支持范围，主要用于支持生态循环农业示范创建、农产品品牌建设、生产经营及服务机制创新等方面，规模经营补贴不再是市级农业绿色发展的战略目标。</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此外，由于目前考核标准并不明确、清晰，考核过程中街镇把关不严，考核打分较为主观，存在规范性风险，因此，建议将规模经营补贴从青浦区农业绿色</w:t>
      </w:r>
      <w:r>
        <w:rPr>
          <w:rFonts w:ascii="宋体" w:hAnsi="宋体" w:cs="宋体" w:hint="eastAsia"/>
          <w:sz w:val="24"/>
        </w:rPr>
        <w:lastRenderedPageBreak/>
        <w:t>生产补贴范围内清退，对应资金可用于其他农业绿色生产相关补贴。</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（二）</w:t>
      </w:r>
      <w:r>
        <w:rPr>
          <w:rFonts w:ascii="宋体" w:hAnsi="宋体" w:cs="宋体" w:hint="eastAsia"/>
          <w:sz w:val="24"/>
        </w:rPr>
        <w:t>2022</w:t>
      </w:r>
      <w:r>
        <w:rPr>
          <w:rFonts w:ascii="宋体" w:hAnsi="宋体" w:cs="宋体" w:hint="eastAsia"/>
          <w:sz w:val="24"/>
        </w:rPr>
        <w:t>年政策预算调整建议</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2022</w:t>
      </w:r>
      <w:r>
        <w:rPr>
          <w:rFonts w:ascii="宋体" w:hAnsi="宋体" w:cs="宋体" w:hint="eastAsia"/>
          <w:sz w:val="24"/>
        </w:rPr>
        <w:t>年政策共安排区级预算</w:t>
      </w:r>
      <w:r>
        <w:rPr>
          <w:rFonts w:ascii="宋体" w:hAnsi="宋体" w:cs="宋体" w:hint="eastAsia"/>
          <w:sz w:val="24"/>
        </w:rPr>
        <w:t>5866.7</w:t>
      </w:r>
      <w:r>
        <w:rPr>
          <w:rFonts w:ascii="宋体" w:hAnsi="宋体" w:cs="宋体" w:hint="eastAsia"/>
          <w:sz w:val="24"/>
        </w:rPr>
        <w:t>万元，较</w:t>
      </w:r>
      <w:r>
        <w:rPr>
          <w:rFonts w:ascii="宋体" w:hAnsi="宋体" w:cs="宋体" w:hint="eastAsia"/>
          <w:sz w:val="24"/>
        </w:rPr>
        <w:t>2021</w:t>
      </w:r>
      <w:r>
        <w:rPr>
          <w:rFonts w:ascii="宋体" w:hAnsi="宋体" w:cs="宋体" w:hint="eastAsia"/>
          <w:sz w:val="24"/>
        </w:rPr>
        <w:t>年预算增长</w:t>
      </w:r>
      <w:r>
        <w:rPr>
          <w:rFonts w:ascii="宋体" w:hAnsi="宋体" w:cs="宋体" w:hint="eastAsia"/>
          <w:sz w:val="24"/>
        </w:rPr>
        <w:t>118.59</w:t>
      </w:r>
      <w:r>
        <w:rPr>
          <w:rFonts w:ascii="宋体" w:hAnsi="宋体" w:cs="宋体" w:hint="eastAsia"/>
          <w:sz w:val="24"/>
        </w:rPr>
        <w:t>万元，较</w:t>
      </w:r>
      <w:r>
        <w:rPr>
          <w:rFonts w:ascii="宋体" w:hAnsi="宋体" w:cs="宋体" w:hint="eastAsia"/>
          <w:sz w:val="24"/>
        </w:rPr>
        <w:t>2021</w:t>
      </w:r>
      <w:r>
        <w:rPr>
          <w:rFonts w:ascii="宋体" w:hAnsi="宋体" w:cs="宋体" w:hint="eastAsia"/>
          <w:sz w:val="24"/>
        </w:rPr>
        <w:t>年执行增长</w:t>
      </w:r>
      <w:r>
        <w:rPr>
          <w:rFonts w:ascii="宋体" w:hAnsi="宋体" w:cs="宋体" w:hint="eastAsia"/>
          <w:sz w:val="24"/>
        </w:rPr>
        <w:t>128.73</w:t>
      </w:r>
      <w:r>
        <w:rPr>
          <w:rFonts w:ascii="宋体" w:hAnsi="宋体" w:cs="宋体" w:hint="eastAsia"/>
          <w:sz w:val="24"/>
        </w:rPr>
        <w:t>万元，其中水稻种植补贴区级预算下降</w:t>
      </w:r>
      <w:r>
        <w:rPr>
          <w:rFonts w:ascii="宋体" w:hAnsi="宋体" w:cs="宋体" w:hint="eastAsia"/>
          <w:sz w:val="24"/>
        </w:rPr>
        <w:t>274.95</w:t>
      </w:r>
      <w:r>
        <w:rPr>
          <w:rFonts w:ascii="宋体" w:hAnsi="宋体" w:cs="宋体" w:hint="eastAsia"/>
          <w:sz w:val="24"/>
        </w:rPr>
        <w:t>万元、蔬菜种植夏淡物化补贴区级预算下降</w:t>
      </w:r>
      <w:r>
        <w:rPr>
          <w:rFonts w:ascii="宋体" w:hAnsi="宋体" w:cs="宋体" w:hint="eastAsia"/>
          <w:sz w:val="24"/>
        </w:rPr>
        <w:t>0.8</w:t>
      </w:r>
      <w:r>
        <w:rPr>
          <w:rFonts w:ascii="宋体" w:hAnsi="宋体" w:cs="宋体" w:hint="eastAsia"/>
          <w:sz w:val="24"/>
        </w:rPr>
        <w:t>万元、机插秧补贴、机直播补贴、水稻良种补贴、水稻农药补贴、蔬菜农药补贴以及规模经营补贴共计增长</w:t>
      </w:r>
      <w:r>
        <w:rPr>
          <w:rFonts w:ascii="宋体" w:hAnsi="宋体" w:cs="宋体" w:hint="eastAsia"/>
          <w:sz w:val="24"/>
        </w:rPr>
        <w:t>403.69</w:t>
      </w:r>
      <w:r>
        <w:rPr>
          <w:rFonts w:ascii="宋体" w:hAnsi="宋体" w:cs="宋体" w:hint="eastAsia"/>
          <w:sz w:val="24"/>
        </w:rPr>
        <w:t>万元，其中，除水稻农药补贴外，其他补贴均是在固定补贴标准下，补贴数量按照</w:t>
      </w:r>
      <w:r>
        <w:rPr>
          <w:rFonts w:ascii="宋体" w:hAnsi="宋体" w:cs="宋体" w:hint="eastAsia"/>
          <w:sz w:val="24"/>
        </w:rPr>
        <w:t>2021</w:t>
      </w:r>
      <w:r>
        <w:rPr>
          <w:rFonts w:ascii="宋体" w:hAnsi="宋体" w:cs="宋体" w:hint="eastAsia"/>
          <w:sz w:val="24"/>
        </w:rPr>
        <w:t>年执行情况向上取整做预留后出现的小幅度上涨，较为合理，且由于目前农作物种植和核查工作受疫情影响，实际种植数据无法获取，因</w:t>
      </w:r>
      <w:r>
        <w:rPr>
          <w:rFonts w:ascii="宋体" w:hAnsi="宋体" w:cs="宋体" w:hint="eastAsia"/>
          <w:sz w:val="24"/>
        </w:rPr>
        <w:t>此以上补贴区级预算金暂不建议调整。</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水稻农药补贴则是按照《关于报送青浦区</w:t>
      </w:r>
      <w:r>
        <w:rPr>
          <w:rFonts w:ascii="宋体" w:hAnsi="宋体" w:cs="宋体" w:hint="eastAsia"/>
          <w:sz w:val="24"/>
        </w:rPr>
        <w:t>2022</w:t>
      </w:r>
      <w:r>
        <w:rPr>
          <w:rFonts w:ascii="宋体" w:hAnsi="宋体" w:cs="宋体" w:hint="eastAsia"/>
          <w:sz w:val="24"/>
        </w:rPr>
        <w:t>年度农业绿色生产补贴项目实施方案的报告》的分配计划由市、区两级承担转为全额由区级承担，</w:t>
      </w:r>
      <w:r>
        <w:rPr>
          <w:rFonts w:ascii="宋体" w:hAnsi="宋体" w:cs="宋体" w:hint="eastAsia"/>
          <w:sz w:val="24"/>
        </w:rPr>
        <w:t>2022</w:t>
      </w:r>
      <w:r>
        <w:rPr>
          <w:rFonts w:ascii="宋体" w:hAnsi="宋体" w:cs="宋体" w:hint="eastAsia"/>
          <w:sz w:val="24"/>
        </w:rPr>
        <w:t>年区级预算金额为</w:t>
      </w:r>
      <w:r>
        <w:rPr>
          <w:rFonts w:ascii="宋体" w:hAnsi="宋体" w:cs="宋体" w:hint="eastAsia"/>
          <w:sz w:val="24"/>
        </w:rPr>
        <w:t>1125</w:t>
      </w:r>
      <w:r>
        <w:rPr>
          <w:rFonts w:ascii="宋体" w:hAnsi="宋体" w:cs="宋体" w:hint="eastAsia"/>
          <w:sz w:val="24"/>
        </w:rPr>
        <w:t>万元，较</w:t>
      </w:r>
      <w:r>
        <w:rPr>
          <w:rFonts w:ascii="宋体" w:hAnsi="宋体" w:cs="宋体" w:hint="eastAsia"/>
          <w:sz w:val="24"/>
        </w:rPr>
        <w:t>2021</w:t>
      </w:r>
      <w:r>
        <w:rPr>
          <w:rFonts w:ascii="宋体" w:hAnsi="宋体" w:cs="宋体" w:hint="eastAsia"/>
          <w:sz w:val="24"/>
        </w:rPr>
        <w:t>年市、区两级资金总额</w:t>
      </w:r>
      <w:r>
        <w:rPr>
          <w:rFonts w:ascii="宋体" w:hAnsi="宋体" w:cs="宋体" w:hint="eastAsia"/>
          <w:sz w:val="24"/>
        </w:rPr>
        <w:t>1084.04</w:t>
      </w:r>
      <w:r>
        <w:rPr>
          <w:rFonts w:ascii="宋体" w:hAnsi="宋体" w:cs="宋体" w:hint="eastAsia"/>
          <w:sz w:val="24"/>
        </w:rPr>
        <w:t>万，增长</w:t>
      </w:r>
      <w:r>
        <w:rPr>
          <w:rFonts w:ascii="宋体" w:hAnsi="宋体" w:cs="宋体" w:hint="eastAsia"/>
          <w:sz w:val="24"/>
        </w:rPr>
        <w:t>32.3</w:t>
      </w:r>
      <w:r>
        <w:rPr>
          <w:rFonts w:ascii="宋体" w:hAnsi="宋体" w:cs="宋体" w:hint="eastAsia"/>
          <w:sz w:val="24"/>
        </w:rPr>
        <w:t>万元，增长原因主要有两方面，一方面是在</w:t>
      </w:r>
      <w:r>
        <w:rPr>
          <w:rFonts w:ascii="宋体" w:hAnsi="宋体" w:cs="宋体" w:hint="eastAsia"/>
          <w:sz w:val="24"/>
        </w:rPr>
        <w:t>2021</w:t>
      </w:r>
      <w:r>
        <w:rPr>
          <w:rFonts w:ascii="宋体" w:hAnsi="宋体" w:cs="宋体" w:hint="eastAsia"/>
          <w:sz w:val="24"/>
        </w:rPr>
        <w:t>年</w:t>
      </w:r>
      <w:r>
        <w:rPr>
          <w:rFonts w:ascii="宋体" w:hAnsi="宋体" w:cs="宋体" w:hint="eastAsia"/>
          <w:sz w:val="24"/>
        </w:rPr>
        <w:t>124713.67</w:t>
      </w:r>
      <w:r>
        <w:rPr>
          <w:rFonts w:ascii="宋体" w:hAnsi="宋体" w:cs="宋体" w:hint="eastAsia"/>
          <w:sz w:val="24"/>
        </w:rPr>
        <w:t>亩的补贴数量基础上进行了向上取整，另一方面在补贴标准上，</w:t>
      </w:r>
      <w:r>
        <w:rPr>
          <w:rFonts w:ascii="宋体" w:hAnsi="宋体" w:cs="宋体" w:hint="eastAsia"/>
          <w:sz w:val="24"/>
        </w:rPr>
        <w:t>2021</w:t>
      </w:r>
      <w:r>
        <w:rPr>
          <w:rFonts w:ascii="宋体" w:hAnsi="宋体" w:cs="宋体" w:hint="eastAsia"/>
          <w:sz w:val="24"/>
        </w:rPr>
        <w:t>年市、区两级按照当年度虫害等情况统筹后补贴标准约为</w:t>
      </w:r>
      <w:r>
        <w:rPr>
          <w:rFonts w:ascii="宋体" w:hAnsi="宋体" w:cs="宋体" w:hint="eastAsia"/>
          <w:sz w:val="24"/>
        </w:rPr>
        <w:t>86.9</w:t>
      </w:r>
      <w:r>
        <w:rPr>
          <w:rFonts w:ascii="宋体" w:hAnsi="宋体" w:cs="宋体" w:hint="eastAsia"/>
          <w:sz w:val="24"/>
        </w:rPr>
        <w:t>元</w:t>
      </w:r>
      <w:r>
        <w:rPr>
          <w:rFonts w:ascii="宋体" w:hAnsi="宋体" w:cs="宋体" w:hint="eastAsia"/>
          <w:sz w:val="24"/>
        </w:rPr>
        <w:t>/</w:t>
      </w:r>
      <w:r>
        <w:rPr>
          <w:rFonts w:ascii="宋体" w:hAnsi="宋体" w:cs="宋体" w:hint="eastAsia"/>
          <w:sz w:val="24"/>
        </w:rPr>
        <w:t>亩，</w:t>
      </w:r>
      <w:r>
        <w:rPr>
          <w:rFonts w:ascii="宋体" w:hAnsi="宋体" w:cs="宋体" w:hint="eastAsia"/>
          <w:sz w:val="24"/>
        </w:rPr>
        <w:t>2022</w:t>
      </w:r>
      <w:r>
        <w:rPr>
          <w:rFonts w:ascii="宋体" w:hAnsi="宋体" w:cs="宋体" w:hint="eastAsia"/>
          <w:sz w:val="24"/>
        </w:rPr>
        <w:t>年区级按照</w:t>
      </w:r>
      <w:r>
        <w:rPr>
          <w:rFonts w:ascii="宋体" w:hAnsi="宋体" w:cs="宋体" w:hint="eastAsia"/>
          <w:sz w:val="24"/>
        </w:rPr>
        <w:t>90</w:t>
      </w:r>
      <w:r>
        <w:rPr>
          <w:rFonts w:ascii="宋体" w:hAnsi="宋体" w:cs="宋体" w:hint="eastAsia"/>
          <w:sz w:val="24"/>
        </w:rPr>
        <w:t>元</w:t>
      </w:r>
      <w:r>
        <w:rPr>
          <w:rFonts w:ascii="宋体" w:hAnsi="宋体" w:cs="宋体" w:hint="eastAsia"/>
          <w:sz w:val="24"/>
        </w:rPr>
        <w:t>/</w:t>
      </w:r>
      <w:r>
        <w:rPr>
          <w:rFonts w:ascii="宋体" w:hAnsi="宋体" w:cs="宋体" w:hint="eastAsia"/>
          <w:sz w:val="24"/>
        </w:rPr>
        <w:t>亩的标准进行了预留。水稻种</w:t>
      </w:r>
      <w:r>
        <w:rPr>
          <w:rFonts w:ascii="宋体" w:hAnsi="宋体" w:cs="宋体" w:hint="eastAsia"/>
          <w:sz w:val="24"/>
        </w:rPr>
        <w:t>植补贴区级预算较</w:t>
      </w:r>
      <w:r>
        <w:rPr>
          <w:rFonts w:ascii="宋体" w:hAnsi="宋体" w:cs="宋体" w:hint="eastAsia"/>
          <w:sz w:val="24"/>
        </w:rPr>
        <w:t>2021</w:t>
      </w:r>
      <w:r>
        <w:rPr>
          <w:rFonts w:ascii="宋体" w:hAnsi="宋体" w:cs="宋体" w:hint="eastAsia"/>
          <w:sz w:val="24"/>
        </w:rPr>
        <w:t>年下降</w:t>
      </w:r>
      <w:r>
        <w:rPr>
          <w:rFonts w:ascii="宋体" w:hAnsi="宋体" w:cs="宋体" w:hint="eastAsia"/>
          <w:sz w:val="24"/>
        </w:rPr>
        <w:t>274.95</w:t>
      </w:r>
      <w:r>
        <w:rPr>
          <w:rFonts w:ascii="宋体" w:hAnsi="宋体" w:cs="宋体" w:hint="eastAsia"/>
          <w:sz w:val="24"/>
        </w:rPr>
        <w:t>万元，原因是市、区两级统筹后市级资金承担部分增加至</w:t>
      </w:r>
      <w:r>
        <w:rPr>
          <w:rFonts w:ascii="宋体" w:hAnsi="宋体" w:cs="宋体" w:hint="eastAsia"/>
          <w:sz w:val="24"/>
        </w:rPr>
        <w:t>3198</w:t>
      </w:r>
      <w:r>
        <w:rPr>
          <w:rFonts w:ascii="宋体" w:hAnsi="宋体" w:cs="宋体" w:hint="eastAsia"/>
          <w:sz w:val="24"/>
        </w:rPr>
        <w:t>万元，相应区级预算减少，补贴总额</w:t>
      </w:r>
      <w:r>
        <w:rPr>
          <w:rFonts w:ascii="宋体" w:hAnsi="宋体" w:cs="宋体" w:hint="eastAsia"/>
          <w:sz w:val="24"/>
        </w:rPr>
        <w:t>4000</w:t>
      </w:r>
      <w:r>
        <w:rPr>
          <w:rFonts w:ascii="宋体" w:hAnsi="宋体" w:cs="宋体" w:hint="eastAsia"/>
          <w:sz w:val="24"/>
        </w:rPr>
        <w:t>万元目前来看能够满足给予</w:t>
      </w:r>
      <w:r>
        <w:rPr>
          <w:rFonts w:ascii="宋体" w:hAnsi="宋体" w:cs="宋体" w:hint="eastAsia"/>
          <w:sz w:val="24"/>
        </w:rPr>
        <w:t>12.5</w:t>
      </w:r>
      <w:r>
        <w:rPr>
          <w:rFonts w:ascii="宋体" w:hAnsi="宋体" w:cs="宋体" w:hint="eastAsia"/>
          <w:sz w:val="24"/>
        </w:rPr>
        <w:t>万亩水稻补贴的需求，故暂不对</w:t>
      </w:r>
      <w:r>
        <w:rPr>
          <w:rFonts w:ascii="宋体" w:hAnsi="宋体" w:cs="宋体" w:hint="eastAsia"/>
          <w:sz w:val="24"/>
        </w:rPr>
        <w:t>2022</w:t>
      </w:r>
      <w:r>
        <w:rPr>
          <w:rFonts w:ascii="宋体" w:hAnsi="宋体" w:cs="宋体" w:hint="eastAsia"/>
          <w:sz w:val="24"/>
        </w:rPr>
        <w:t>年政策涉及的项目预算提出调整建议。</w:t>
      </w:r>
    </w:p>
    <w:p w:rsidR="0014796B" w:rsidRDefault="00CE138C" w:rsidP="001F2E4F">
      <w:pPr>
        <w:spacing w:afterLines="50" w:line="360" w:lineRule="auto"/>
        <w:ind w:firstLineChars="200" w:firstLine="480"/>
        <w:outlineLvl w:val="0"/>
        <w:rPr>
          <w:rFonts w:ascii="宋体" w:hAnsi="宋体" w:cs="宋体"/>
          <w:sz w:val="24"/>
        </w:rPr>
      </w:pPr>
      <w:r>
        <w:rPr>
          <w:rFonts w:ascii="宋体" w:hAnsi="宋体" w:cs="宋体" w:hint="eastAsia"/>
          <w:sz w:val="24"/>
        </w:rPr>
        <w:t>七、结果应用情况</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（一）进一步完善政策条款，明确细化农户信息审核及“退票”资金的管理要求</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一是区农业农村委及时完成</w:t>
      </w:r>
      <w:r>
        <w:rPr>
          <w:rFonts w:ascii="宋体" w:hAnsi="宋体" w:cs="宋体" w:hint="eastAsia"/>
          <w:sz w:val="24"/>
        </w:rPr>
        <w:t>2021</w:t>
      </w:r>
      <w:r>
        <w:rPr>
          <w:rFonts w:ascii="宋体" w:hAnsi="宋体" w:cs="宋体" w:hint="eastAsia"/>
          <w:sz w:val="24"/>
        </w:rPr>
        <w:t>年度退票资金拨付情况检查，经检查，上年度资金中，规模经营补贴资金有</w:t>
      </w:r>
      <w:r>
        <w:rPr>
          <w:rFonts w:ascii="宋体" w:hAnsi="宋体" w:cs="宋体" w:hint="eastAsia"/>
          <w:sz w:val="24"/>
        </w:rPr>
        <w:t>16</w:t>
      </w:r>
      <w:r>
        <w:rPr>
          <w:rFonts w:ascii="宋体" w:hAnsi="宋体" w:cs="宋体" w:hint="eastAsia"/>
          <w:sz w:val="24"/>
        </w:rPr>
        <w:t>笔退票，金额</w:t>
      </w:r>
      <w:r>
        <w:rPr>
          <w:rFonts w:ascii="宋体" w:hAnsi="宋体" w:cs="宋体" w:hint="eastAsia"/>
          <w:sz w:val="24"/>
        </w:rPr>
        <w:t>94.1</w:t>
      </w:r>
      <w:r>
        <w:rPr>
          <w:rFonts w:ascii="宋体" w:hAnsi="宋体" w:cs="宋体" w:hint="eastAsia"/>
          <w:sz w:val="24"/>
        </w:rPr>
        <w:t>万元，于</w:t>
      </w:r>
      <w:r>
        <w:rPr>
          <w:rFonts w:ascii="宋体" w:hAnsi="宋体" w:cs="宋体" w:hint="eastAsia"/>
          <w:sz w:val="24"/>
        </w:rPr>
        <w:t>2021</w:t>
      </w:r>
      <w:r>
        <w:rPr>
          <w:rFonts w:ascii="宋体" w:hAnsi="宋体" w:cs="宋体" w:hint="eastAsia"/>
          <w:sz w:val="24"/>
        </w:rPr>
        <w:t>年</w:t>
      </w:r>
      <w:r>
        <w:rPr>
          <w:rFonts w:ascii="宋体" w:hAnsi="宋体" w:cs="宋体" w:hint="eastAsia"/>
          <w:sz w:val="24"/>
        </w:rPr>
        <w:t>8</w:t>
      </w:r>
      <w:r>
        <w:rPr>
          <w:rFonts w:ascii="宋体" w:hAnsi="宋体" w:cs="宋体" w:hint="eastAsia"/>
          <w:sz w:val="24"/>
        </w:rPr>
        <w:t>月底前由所属街镇拨付到位。上图补贴资</w:t>
      </w:r>
      <w:r>
        <w:rPr>
          <w:rFonts w:ascii="宋体" w:hAnsi="宋体" w:cs="宋体" w:hint="eastAsia"/>
          <w:sz w:val="24"/>
        </w:rPr>
        <w:t>金有</w:t>
      </w:r>
      <w:r>
        <w:rPr>
          <w:rFonts w:ascii="宋体" w:hAnsi="宋体" w:cs="宋体" w:hint="eastAsia"/>
          <w:sz w:val="24"/>
        </w:rPr>
        <w:t>2</w:t>
      </w:r>
      <w:r>
        <w:rPr>
          <w:rFonts w:ascii="宋体" w:hAnsi="宋体" w:cs="宋体" w:hint="eastAsia"/>
          <w:sz w:val="24"/>
        </w:rPr>
        <w:t>笔退票，金额</w:t>
      </w:r>
      <w:r>
        <w:rPr>
          <w:rFonts w:ascii="宋体" w:hAnsi="宋体" w:cs="宋体" w:hint="eastAsia"/>
          <w:sz w:val="24"/>
        </w:rPr>
        <w:t>6.7</w:t>
      </w:r>
      <w:r>
        <w:rPr>
          <w:rFonts w:ascii="宋体" w:hAnsi="宋体" w:cs="宋体" w:hint="eastAsia"/>
          <w:sz w:val="24"/>
        </w:rPr>
        <w:t>万元，于</w:t>
      </w:r>
      <w:r>
        <w:rPr>
          <w:rFonts w:ascii="宋体" w:hAnsi="宋体" w:cs="宋体" w:hint="eastAsia"/>
          <w:sz w:val="24"/>
        </w:rPr>
        <w:t>2022</w:t>
      </w:r>
      <w:r>
        <w:rPr>
          <w:rFonts w:ascii="宋体" w:hAnsi="宋体" w:cs="宋体" w:hint="eastAsia"/>
          <w:sz w:val="24"/>
        </w:rPr>
        <w:t>年</w:t>
      </w:r>
      <w:r>
        <w:rPr>
          <w:rFonts w:ascii="宋体" w:hAnsi="宋体" w:cs="宋体" w:hint="eastAsia"/>
          <w:sz w:val="24"/>
        </w:rPr>
        <w:t>2</w:t>
      </w:r>
      <w:r>
        <w:rPr>
          <w:rFonts w:ascii="宋体" w:hAnsi="宋体" w:cs="宋体" w:hint="eastAsia"/>
          <w:sz w:val="24"/>
        </w:rPr>
        <w:t>月底前由所属街镇拨付到位。</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lastRenderedPageBreak/>
        <w:t>二是结合新一轮政策修订工作，在政策中明确，基层审核时，应对由补贴对象提供个人银行卡复印件、合作社或企业银行开户许可证复印件，仔细核对银行账户信息，确保信息准确，提高资金拨付效率，同时将该项工作纳入对街镇农业工作考核，考核结果反馈至区财政，作为区对镇财力结算转移支付资金量确定的依据之一。</w:t>
      </w:r>
    </w:p>
    <w:p w:rsidR="0014796B" w:rsidRDefault="00CE138C" w:rsidP="001F2E4F">
      <w:pPr>
        <w:spacing w:afterLines="50" w:line="360" w:lineRule="auto"/>
        <w:ind w:firstLineChars="200" w:firstLine="480"/>
        <w:rPr>
          <w:rFonts w:ascii="宋体" w:hAnsi="宋体" w:cs="宋体"/>
          <w:sz w:val="24"/>
        </w:rPr>
      </w:pPr>
      <w:r>
        <w:rPr>
          <w:rFonts w:ascii="宋体" w:hAnsi="宋体" w:cs="宋体" w:hint="eastAsia"/>
          <w:sz w:val="24"/>
        </w:rPr>
        <w:t>三是在今后涉农补贴资金发放过程中，区财政局将加大资金发放过程监管力度，在要求资金及时兑现的前提下，要求主管部门和项目单位及时反馈资金发放结果和退票有关情</w:t>
      </w:r>
      <w:r>
        <w:rPr>
          <w:rFonts w:ascii="宋体" w:hAnsi="宋体" w:cs="宋体" w:hint="eastAsia"/>
          <w:sz w:val="24"/>
        </w:rPr>
        <w:t>况。</w:t>
      </w:r>
    </w:p>
    <w:p w:rsidR="0014796B" w:rsidRDefault="00CE138C" w:rsidP="001F2E4F">
      <w:pPr>
        <w:spacing w:afterLines="50" w:line="360" w:lineRule="auto"/>
        <w:ind w:firstLineChars="200" w:firstLine="480"/>
        <w:outlineLvl w:val="1"/>
        <w:rPr>
          <w:rFonts w:ascii="宋体" w:hAnsi="宋体" w:cs="宋体"/>
          <w:sz w:val="24"/>
        </w:rPr>
      </w:pPr>
      <w:r>
        <w:rPr>
          <w:rFonts w:ascii="宋体" w:hAnsi="宋体" w:cs="宋体" w:hint="eastAsia"/>
          <w:sz w:val="24"/>
        </w:rPr>
        <w:t>（二）优化调整规模经营补贴政策</w:t>
      </w:r>
    </w:p>
    <w:p w:rsidR="0014796B" w:rsidRDefault="00CE138C" w:rsidP="001F2E4F">
      <w:pPr>
        <w:pStyle w:val="a0"/>
        <w:spacing w:afterLines="50" w:line="360" w:lineRule="auto"/>
        <w:ind w:firstLineChars="200" w:firstLine="480"/>
        <w:rPr>
          <w:rFonts w:ascii="宋体" w:hAnsi="宋体" w:cs="宋体"/>
          <w:sz w:val="24"/>
        </w:rPr>
      </w:pPr>
      <w:r>
        <w:rPr>
          <w:rFonts w:ascii="宋体" w:hAnsi="宋体" w:cs="宋体" w:hint="eastAsia"/>
          <w:sz w:val="24"/>
        </w:rPr>
        <w:t>一是区农业农村委开展新一轮绿色补贴专项资金整合修订工作，拟将规模经营补贴项目整合为绿色生产补贴，侧重对绿色生产基地及绿色认证生产主体在绿色生产方式方面进行扶持，促进本区农业绿色稳步发展。</w:t>
      </w:r>
    </w:p>
    <w:p w:rsidR="0014796B" w:rsidRDefault="00CE138C" w:rsidP="001F2E4F">
      <w:pPr>
        <w:pStyle w:val="a0"/>
        <w:spacing w:afterLines="50" w:line="360" w:lineRule="auto"/>
        <w:ind w:firstLineChars="200" w:firstLine="480"/>
        <w:rPr>
          <w:rFonts w:ascii="宋体" w:hAnsi="宋体" w:cs="宋体"/>
          <w:sz w:val="24"/>
        </w:rPr>
      </w:pPr>
      <w:r>
        <w:rPr>
          <w:rFonts w:ascii="宋体" w:hAnsi="宋体" w:cs="宋体" w:hint="eastAsia"/>
          <w:sz w:val="24"/>
        </w:rPr>
        <w:t>二是区财政局将认真配合区农业农村委做好新一轮绿色补贴专项资金整合修订工作，建议主管部门加大调研力度，认真研判当前我区农业实际情况，拟定符合我区农业生产发展实际需求的相关补贴政策，政策必须具有导向性和可操作性。</w:t>
      </w:r>
    </w:p>
    <w:p w:rsidR="0014796B" w:rsidRDefault="0014796B" w:rsidP="001F2E4F">
      <w:pPr>
        <w:pStyle w:val="a0"/>
        <w:spacing w:afterLines="50" w:line="360" w:lineRule="auto"/>
        <w:ind w:firstLineChars="200" w:firstLine="480"/>
        <w:rPr>
          <w:rFonts w:ascii="宋体" w:eastAsia="宋体" w:hAnsi="宋体" w:cs="宋体"/>
          <w:sz w:val="24"/>
          <w:szCs w:val="24"/>
        </w:rPr>
      </w:pPr>
    </w:p>
    <w:p w:rsidR="0014796B" w:rsidRDefault="0014796B" w:rsidP="0014796B">
      <w:pPr>
        <w:pStyle w:val="a0"/>
        <w:spacing w:afterLines="50" w:line="360" w:lineRule="auto"/>
        <w:ind w:firstLineChars="200" w:firstLine="480"/>
        <w:rPr>
          <w:rFonts w:ascii="宋体" w:eastAsia="宋体" w:hAnsi="宋体" w:cs="宋体"/>
          <w:sz w:val="24"/>
          <w:szCs w:val="24"/>
        </w:rPr>
      </w:pPr>
    </w:p>
    <w:sectPr w:rsidR="0014796B" w:rsidSect="0014796B">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38C" w:rsidRDefault="00CE138C" w:rsidP="0014796B">
      <w:r>
        <w:separator/>
      </w:r>
    </w:p>
  </w:endnote>
  <w:endnote w:type="continuationSeparator" w:id="1">
    <w:p w:rsidR="00CE138C" w:rsidRDefault="00CE138C" w:rsidP="001479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6B" w:rsidRDefault="0014796B">
    <w:pPr>
      <w:pStyle w:val="a0"/>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 filled="f" stroked="f">
          <v:textbox style="mso-fit-shape-to-text:t" inset="0,0,0,0">
            <w:txbxContent>
              <w:p w:rsidR="0014796B" w:rsidRDefault="0014796B">
                <w:pPr>
                  <w:pStyle w:val="a0"/>
                </w:pPr>
                <w:r>
                  <w:fldChar w:fldCharType="begin"/>
                </w:r>
                <w:r w:rsidR="00CE138C">
                  <w:instrText xml:space="preserve"> PAGE  \* MERGEFORMAT </w:instrText>
                </w:r>
                <w:r>
                  <w:fldChar w:fldCharType="separate"/>
                </w:r>
                <w:r w:rsidR="001F2E4F">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38C" w:rsidRDefault="00CE138C">
      <w:r>
        <w:separator/>
      </w:r>
    </w:p>
  </w:footnote>
  <w:footnote w:type="continuationSeparator" w:id="1">
    <w:p w:rsidR="00CE138C" w:rsidRDefault="00CE138C">
      <w:r>
        <w:continuationSeparator/>
      </w:r>
    </w:p>
  </w:footnote>
  <w:footnote w:id="2">
    <w:p w:rsidR="0014796B" w:rsidRDefault="00CE138C">
      <w:pPr>
        <w:pStyle w:val="a8"/>
        <w:spacing w:before="156" w:after="156"/>
        <w:ind w:firstLine="360"/>
      </w:pPr>
      <w:r>
        <w:rPr>
          <w:rStyle w:val="ac"/>
        </w:rPr>
        <w:footnoteRef/>
      </w:r>
      <w:r>
        <w:rPr>
          <w:rFonts w:hint="eastAsia"/>
        </w:rPr>
        <w:t>2021</w:t>
      </w:r>
      <w:r>
        <w:rPr>
          <w:rFonts w:hint="eastAsia"/>
        </w:rPr>
        <w:t>年根据市级政策调整原蔬菜种植补贴和“夏淡”期间绿叶菜补贴调整为了蔬菜上图补贴。</w:t>
      </w:r>
    </w:p>
  </w:footnote>
  <w:footnote w:id="3">
    <w:p w:rsidR="0014796B" w:rsidRDefault="00CE138C">
      <w:pPr>
        <w:pStyle w:val="a8"/>
        <w:spacing w:before="156" w:after="156"/>
        <w:ind w:firstLine="360"/>
      </w:pPr>
      <w:r>
        <w:rPr>
          <w:rStyle w:val="ac"/>
        </w:rPr>
        <w:footnoteRef/>
      </w:r>
      <w:r>
        <w:rPr>
          <w:rFonts w:hint="eastAsia"/>
        </w:rPr>
        <w:t>种植完成情况超出年初计划亩数，随之补贴超出。</w:t>
      </w:r>
      <w:r>
        <w:rPr>
          <w:rFonts w:hint="eastAsia"/>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MwMmM1ODlkMDIwZmY4NWY2MTk1Yjk5ZDlhZDAwNTkifQ=="/>
    <w:docVar w:name="KSO_WPS_MARK_KEY" w:val="a30dfe7a-9970-4307-a428-2529d101bcd0"/>
  </w:docVars>
  <w:rsids>
    <w:rsidRoot w:val="00CA335F"/>
    <w:rsid w:val="FEFE3EF8"/>
    <w:rsid w:val="0014796B"/>
    <w:rsid w:val="00196661"/>
    <w:rsid w:val="001F2E4F"/>
    <w:rsid w:val="00206EAD"/>
    <w:rsid w:val="002838D7"/>
    <w:rsid w:val="00287D95"/>
    <w:rsid w:val="002E28EA"/>
    <w:rsid w:val="0035001E"/>
    <w:rsid w:val="00357EFE"/>
    <w:rsid w:val="003C5F38"/>
    <w:rsid w:val="004A2E59"/>
    <w:rsid w:val="004C490A"/>
    <w:rsid w:val="005134A4"/>
    <w:rsid w:val="006B0006"/>
    <w:rsid w:val="006C6259"/>
    <w:rsid w:val="00725DC6"/>
    <w:rsid w:val="00731FAB"/>
    <w:rsid w:val="00757E06"/>
    <w:rsid w:val="007946D5"/>
    <w:rsid w:val="007A7275"/>
    <w:rsid w:val="00803FA2"/>
    <w:rsid w:val="00826F5A"/>
    <w:rsid w:val="009105AB"/>
    <w:rsid w:val="00A92025"/>
    <w:rsid w:val="00B00D8C"/>
    <w:rsid w:val="00C24FB0"/>
    <w:rsid w:val="00C86878"/>
    <w:rsid w:val="00CA335F"/>
    <w:rsid w:val="00CE138C"/>
    <w:rsid w:val="00D24DEF"/>
    <w:rsid w:val="00D648CB"/>
    <w:rsid w:val="00DB454D"/>
    <w:rsid w:val="00DD7BBF"/>
    <w:rsid w:val="00E628AE"/>
    <w:rsid w:val="00F262F1"/>
    <w:rsid w:val="00FD2DEA"/>
    <w:rsid w:val="030447ED"/>
    <w:rsid w:val="04820B6B"/>
    <w:rsid w:val="06163BD1"/>
    <w:rsid w:val="06BD4DB6"/>
    <w:rsid w:val="074C24FB"/>
    <w:rsid w:val="094B59F1"/>
    <w:rsid w:val="0AB063A2"/>
    <w:rsid w:val="0B4E6285"/>
    <w:rsid w:val="0C903519"/>
    <w:rsid w:val="0DC57B70"/>
    <w:rsid w:val="0E69103F"/>
    <w:rsid w:val="0EBA1F9D"/>
    <w:rsid w:val="0F851366"/>
    <w:rsid w:val="10263C32"/>
    <w:rsid w:val="10727708"/>
    <w:rsid w:val="10D80401"/>
    <w:rsid w:val="12AE7757"/>
    <w:rsid w:val="133D4D21"/>
    <w:rsid w:val="136E6DFB"/>
    <w:rsid w:val="14345FF8"/>
    <w:rsid w:val="147D3BF2"/>
    <w:rsid w:val="14D96FB7"/>
    <w:rsid w:val="16495944"/>
    <w:rsid w:val="1B330E20"/>
    <w:rsid w:val="1B485E18"/>
    <w:rsid w:val="1BD1291A"/>
    <w:rsid w:val="1C3C5B34"/>
    <w:rsid w:val="1CF56A43"/>
    <w:rsid w:val="1DC52513"/>
    <w:rsid w:val="1DF63710"/>
    <w:rsid w:val="1F8B663F"/>
    <w:rsid w:val="2299472A"/>
    <w:rsid w:val="231950D4"/>
    <w:rsid w:val="23A03E43"/>
    <w:rsid w:val="253F0D14"/>
    <w:rsid w:val="25E96E54"/>
    <w:rsid w:val="26F2235E"/>
    <w:rsid w:val="29DA3081"/>
    <w:rsid w:val="29EE2862"/>
    <w:rsid w:val="2C07559C"/>
    <w:rsid w:val="2C1B2732"/>
    <w:rsid w:val="2EE235DE"/>
    <w:rsid w:val="31B12944"/>
    <w:rsid w:val="32B8220B"/>
    <w:rsid w:val="35103D2E"/>
    <w:rsid w:val="36687A6B"/>
    <w:rsid w:val="379545E5"/>
    <w:rsid w:val="38F44DFD"/>
    <w:rsid w:val="391231B2"/>
    <w:rsid w:val="39C23583"/>
    <w:rsid w:val="39D7006D"/>
    <w:rsid w:val="3A6B70D7"/>
    <w:rsid w:val="3A912CDA"/>
    <w:rsid w:val="3AA65ADC"/>
    <w:rsid w:val="3C662353"/>
    <w:rsid w:val="3E533D94"/>
    <w:rsid w:val="3FBE49AE"/>
    <w:rsid w:val="3FD76972"/>
    <w:rsid w:val="3FFBC761"/>
    <w:rsid w:val="3FFF51A5"/>
    <w:rsid w:val="40DF5C99"/>
    <w:rsid w:val="41750096"/>
    <w:rsid w:val="43461473"/>
    <w:rsid w:val="44D21484"/>
    <w:rsid w:val="4508235C"/>
    <w:rsid w:val="4535690D"/>
    <w:rsid w:val="46080139"/>
    <w:rsid w:val="4676400A"/>
    <w:rsid w:val="46D84A50"/>
    <w:rsid w:val="48C758A8"/>
    <w:rsid w:val="49972828"/>
    <w:rsid w:val="49C302E1"/>
    <w:rsid w:val="4A0830A1"/>
    <w:rsid w:val="4A6A32B9"/>
    <w:rsid w:val="4E0D3D89"/>
    <w:rsid w:val="4E70046E"/>
    <w:rsid w:val="4FC2346C"/>
    <w:rsid w:val="50610B72"/>
    <w:rsid w:val="51CB72CF"/>
    <w:rsid w:val="51E0262B"/>
    <w:rsid w:val="52AB4326"/>
    <w:rsid w:val="52E47847"/>
    <w:rsid w:val="536117A2"/>
    <w:rsid w:val="53D91F90"/>
    <w:rsid w:val="53F57818"/>
    <w:rsid w:val="554144F3"/>
    <w:rsid w:val="55C71A0D"/>
    <w:rsid w:val="567D6779"/>
    <w:rsid w:val="5776668B"/>
    <w:rsid w:val="584F3FB4"/>
    <w:rsid w:val="590774E1"/>
    <w:rsid w:val="5A8A47E2"/>
    <w:rsid w:val="5C40561F"/>
    <w:rsid w:val="5C5F175C"/>
    <w:rsid w:val="5D1A7927"/>
    <w:rsid w:val="5DBC5FC7"/>
    <w:rsid w:val="5E700196"/>
    <w:rsid w:val="5E79448F"/>
    <w:rsid w:val="5ECD2B8A"/>
    <w:rsid w:val="5FE45568"/>
    <w:rsid w:val="602B75AA"/>
    <w:rsid w:val="61F56213"/>
    <w:rsid w:val="6257032D"/>
    <w:rsid w:val="62A60AE3"/>
    <w:rsid w:val="63CA4E46"/>
    <w:rsid w:val="6412040D"/>
    <w:rsid w:val="652F1F12"/>
    <w:rsid w:val="659163EA"/>
    <w:rsid w:val="65EF0136"/>
    <w:rsid w:val="673570C4"/>
    <w:rsid w:val="68052AD7"/>
    <w:rsid w:val="684F79F4"/>
    <w:rsid w:val="685D4F7A"/>
    <w:rsid w:val="6B2A5D07"/>
    <w:rsid w:val="6CCF0F7D"/>
    <w:rsid w:val="6D2771AA"/>
    <w:rsid w:val="6DF2723B"/>
    <w:rsid w:val="6E010C78"/>
    <w:rsid w:val="6FF8E930"/>
    <w:rsid w:val="73C231FD"/>
    <w:rsid w:val="73EBDA90"/>
    <w:rsid w:val="73FD186E"/>
    <w:rsid w:val="751320B2"/>
    <w:rsid w:val="753D3BB6"/>
    <w:rsid w:val="76A5715B"/>
    <w:rsid w:val="76CA18D7"/>
    <w:rsid w:val="77091498"/>
    <w:rsid w:val="776D9587"/>
    <w:rsid w:val="777E0BEC"/>
    <w:rsid w:val="79985EF1"/>
    <w:rsid w:val="7B2C4056"/>
    <w:rsid w:val="7B5833F4"/>
    <w:rsid w:val="7BC3769B"/>
    <w:rsid w:val="7E2310B8"/>
    <w:rsid w:val="7E644621"/>
    <w:rsid w:val="7E663931"/>
    <w:rsid w:val="7F5B048C"/>
    <w:rsid w:val="7FD24C09"/>
    <w:rsid w:val="7FD528A7"/>
    <w:rsid w:val="7FE66523"/>
    <w:rsid w:val="7FEE11B7"/>
    <w:rsid w:val="7FEF196F"/>
    <w:rsid w:val="7FFB19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Body Text 2" w:semiHidden="0"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4796B"/>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rsid w:val="0014796B"/>
    <w:pPr>
      <w:keepNext/>
      <w:keepLines/>
      <w:outlineLvl w:val="0"/>
    </w:pPr>
    <w:rPr>
      <w:b/>
      <w:kern w:val="44"/>
    </w:rPr>
  </w:style>
  <w:style w:type="paragraph" w:styleId="2">
    <w:name w:val="heading 2"/>
    <w:basedOn w:val="a"/>
    <w:next w:val="a"/>
    <w:qFormat/>
    <w:rsid w:val="0014796B"/>
    <w:pPr>
      <w:keepNext/>
      <w:keepLines/>
      <w:spacing w:line="500" w:lineRule="exact"/>
      <w:ind w:firstLineChars="200" w:firstLine="200"/>
      <w:outlineLvl w:val="1"/>
    </w:pPr>
    <w:rPr>
      <w:rFonts w:ascii="Cambria" w:eastAsia="仿宋" w:hAnsi="Cambria" w:cs="宋体"/>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unhideWhenUsed/>
    <w:qFormat/>
    <w:rsid w:val="0014796B"/>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annotation text"/>
    <w:basedOn w:val="a"/>
    <w:link w:val="Char0"/>
    <w:uiPriority w:val="99"/>
    <w:semiHidden/>
    <w:unhideWhenUsed/>
    <w:qFormat/>
    <w:rsid w:val="0014796B"/>
    <w:pPr>
      <w:jc w:val="left"/>
    </w:pPr>
  </w:style>
  <w:style w:type="paragraph" w:styleId="a5">
    <w:name w:val="Body Text Indent"/>
    <w:basedOn w:val="a"/>
    <w:qFormat/>
    <w:rsid w:val="0014796B"/>
    <w:pPr>
      <w:spacing w:after="120"/>
      <w:ind w:leftChars="200" w:left="420"/>
    </w:pPr>
  </w:style>
  <w:style w:type="paragraph" w:styleId="a6">
    <w:name w:val="Balloon Text"/>
    <w:basedOn w:val="a"/>
    <w:link w:val="Char1"/>
    <w:uiPriority w:val="99"/>
    <w:semiHidden/>
    <w:unhideWhenUsed/>
    <w:qFormat/>
    <w:rsid w:val="0014796B"/>
    <w:rPr>
      <w:sz w:val="18"/>
      <w:szCs w:val="18"/>
    </w:rPr>
  </w:style>
  <w:style w:type="paragraph" w:styleId="a7">
    <w:name w:val="header"/>
    <w:basedOn w:val="a"/>
    <w:link w:val="Char2"/>
    <w:uiPriority w:val="99"/>
    <w:unhideWhenUsed/>
    <w:qFormat/>
    <w:rsid w:val="0014796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footnote text"/>
    <w:basedOn w:val="a"/>
    <w:uiPriority w:val="99"/>
    <w:semiHidden/>
    <w:unhideWhenUsed/>
    <w:qFormat/>
    <w:rsid w:val="0014796B"/>
    <w:pPr>
      <w:spacing w:beforeLines="50" w:afterLines="50"/>
      <w:jc w:val="left"/>
    </w:pPr>
    <w:rPr>
      <w:sz w:val="18"/>
      <w:szCs w:val="18"/>
    </w:rPr>
  </w:style>
  <w:style w:type="paragraph" w:styleId="20">
    <w:name w:val="Body Text 2"/>
    <w:basedOn w:val="a"/>
    <w:next w:val="21"/>
    <w:uiPriority w:val="99"/>
    <w:qFormat/>
    <w:rsid w:val="0014796B"/>
    <w:pPr>
      <w:ind w:firstLine="1840"/>
    </w:pPr>
  </w:style>
  <w:style w:type="paragraph" w:styleId="21">
    <w:name w:val="Body Text First Indent 2"/>
    <w:basedOn w:val="a5"/>
    <w:qFormat/>
    <w:rsid w:val="0014796B"/>
    <w:pPr>
      <w:ind w:firstLine="420"/>
    </w:pPr>
  </w:style>
  <w:style w:type="paragraph" w:styleId="a9">
    <w:name w:val="annotation subject"/>
    <w:basedOn w:val="a4"/>
    <w:next w:val="a4"/>
    <w:link w:val="Char3"/>
    <w:uiPriority w:val="99"/>
    <w:semiHidden/>
    <w:unhideWhenUsed/>
    <w:qFormat/>
    <w:rsid w:val="0014796B"/>
    <w:rPr>
      <w:b/>
      <w:bCs/>
    </w:rPr>
  </w:style>
  <w:style w:type="table" w:styleId="aa">
    <w:name w:val="Table Grid"/>
    <w:basedOn w:val="a2"/>
    <w:qFormat/>
    <w:rsid w:val="0014796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1"/>
    <w:uiPriority w:val="99"/>
    <w:semiHidden/>
    <w:unhideWhenUsed/>
    <w:qFormat/>
    <w:rsid w:val="0014796B"/>
    <w:rPr>
      <w:sz w:val="21"/>
      <w:szCs w:val="21"/>
    </w:rPr>
  </w:style>
  <w:style w:type="character" w:styleId="ac">
    <w:name w:val="footnote reference"/>
    <w:basedOn w:val="a1"/>
    <w:uiPriority w:val="99"/>
    <w:semiHidden/>
    <w:unhideWhenUsed/>
    <w:qFormat/>
    <w:rsid w:val="0014796B"/>
    <w:rPr>
      <w:vertAlign w:val="superscript"/>
    </w:rPr>
  </w:style>
  <w:style w:type="character" w:customStyle="1" w:styleId="Char2">
    <w:name w:val="页眉 Char"/>
    <w:basedOn w:val="a1"/>
    <w:link w:val="a7"/>
    <w:uiPriority w:val="99"/>
    <w:qFormat/>
    <w:rsid w:val="0014796B"/>
    <w:rPr>
      <w:sz w:val="18"/>
      <w:szCs w:val="18"/>
    </w:rPr>
  </w:style>
  <w:style w:type="character" w:customStyle="1" w:styleId="Char">
    <w:name w:val="页脚 Char"/>
    <w:basedOn w:val="a1"/>
    <w:link w:val="a0"/>
    <w:uiPriority w:val="99"/>
    <w:qFormat/>
    <w:rsid w:val="0014796B"/>
    <w:rPr>
      <w:sz w:val="18"/>
      <w:szCs w:val="18"/>
    </w:rPr>
  </w:style>
  <w:style w:type="paragraph" w:customStyle="1" w:styleId="ad">
    <w:name w:val="正文二"/>
    <w:basedOn w:val="a"/>
    <w:qFormat/>
    <w:rsid w:val="0014796B"/>
    <w:pPr>
      <w:ind w:firstLineChars="200" w:firstLine="200"/>
    </w:pPr>
    <w:rPr>
      <w:rFonts w:ascii="宋体" w:eastAsia="仿宋_GB2312" w:hAnsi="宋体"/>
      <w:sz w:val="28"/>
      <w:szCs w:val="30"/>
    </w:rPr>
  </w:style>
  <w:style w:type="paragraph" w:customStyle="1" w:styleId="22">
    <w:name w:val="无间隔2"/>
    <w:qFormat/>
    <w:rsid w:val="0014796B"/>
    <w:rPr>
      <w:rFonts w:ascii="Calibri" w:eastAsia="宋体" w:hAnsi="Calibri" w:cs="Calibri"/>
      <w:sz w:val="22"/>
      <w:szCs w:val="22"/>
    </w:rPr>
  </w:style>
  <w:style w:type="character" w:customStyle="1" w:styleId="Char0">
    <w:name w:val="批注文字 Char"/>
    <w:basedOn w:val="a1"/>
    <w:link w:val="a4"/>
    <w:uiPriority w:val="99"/>
    <w:semiHidden/>
    <w:qFormat/>
    <w:rsid w:val="0014796B"/>
    <w:rPr>
      <w:rFonts w:ascii="Times New Roman" w:eastAsia="宋体" w:hAnsi="Times New Roman" w:cs="Times New Roman"/>
      <w:kern w:val="2"/>
      <w:sz w:val="21"/>
      <w:szCs w:val="24"/>
    </w:rPr>
  </w:style>
  <w:style w:type="character" w:customStyle="1" w:styleId="Char3">
    <w:name w:val="批注主题 Char"/>
    <w:basedOn w:val="Char0"/>
    <w:link w:val="a9"/>
    <w:uiPriority w:val="99"/>
    <w:semiHidden/>
    <w:qFormat/>
    <w:rsid w:val="0014796B"/>
    <w:rPr>
      <w:rFonts w:ascii="Times New Roman" w:eastAsia="宋体" w:hAnsi="Times New Roman" w:cs="Times New Roman"/>
      <w:b/>
      <w:bCs/>
      <w:kern w:val="2"/>
      <w:sz w:val="21"/>
      <w:szCs w:val="24"/>
    </w:rPr>
  </w:style>
  <w:style w:type="character" w:customStyle="1" w:styleId="Char1">
    <w:name w:val="批注框文本 Char"/>
    <w:basedOn w:val="a1"/>
    <w:link w:val="a6"/>
    <w:uiPriority w:val="99"/>
    <w:semiHidden/>
    <w:qFormat/>
    <w:rsid w:val="0014796B"/>
    <w:rPr>
      <w:rFonts w:ascii="Times New Roman" w:eastAsia="宋体" w:hAnsi="Times New Roman" w:cs="Times New Roman"/>
      <w:kern w:val="2"/>
      <w:sz w:val="18"/>
      <w:szCs w:val="18"/>
    </w:rPr>
  </w:style>
  <w:style w:type="paragraph" w:styleId="ae">
    <w:name w:val="Document Map"/>
    <w:basedOn w:val="a"/>
    <w:link w:val="Char4"/>
    <w:uiPriority w:val="99"/>
    <w:semiHidden/>
    <w:unhideWhenUsed/>
    <w:rsid w:val="001F2E4F"/>
    <w:rPr>
      <w:rFonts w:ascii="宋体"/>
      <w:sz w:val="18"/>
      <w:szCs w:val="18"/>
    </w:rPr>
  </w:style>
  <w:style w:type="character" w:customStyle="1" w:styleId="Char4">
    <w:name w:val="文档结构图 Char"/>
    <w:basedOn w:val="a1"/>
    <w:link w:val="ae"/>
    <w:uiPriority w:val="99"/>
    <w:semiHidden/>
    <w:rsid w:val="001F2E4F"/>
    <w:rPr>
      <w:rFonts w:ascii="宋体"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941</Words>
  <Characters>5369</Characters>
  <Application>Microsoft Office Word</Application>
  <DocSecurity>0</DocSecurity>
  <Lines>44</Lines>
  <Paragraphs>12</Paragraphs>
  <ScaleCrop>false</ScaleCrop>
  <Company>微软中国</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丁爱云</cp:lastModifiedBy>
  <cp:revision>9</cp:revision>
  <cp:lastPrinted>2020-07-10T00:56:00Z</cp:lastPrinted>
  <dcterms:created xsi:type="dcterms:W3CDTF">2022-08-30T14:24:00Z</dcterms:created>
  <dcterms:modified xsi:type="dcterms:W3CDTF">2022-11-08T01:57:00Z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C7D7E456D24746EE9396306A7EBEE448</vt:lpwstr>
  </property>
</Properties>
</file>