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center"/>
        <w:rPr>
          <w:rFonts w:ascii="宋体" w:hAnsi="宋体" w:cs="宋体"/>
          <w:sz w:val="44"/>
        </w:rPr>
      </w:pPr>
      <w:r>
        <w:rPr>
          <w:rFonts w:hint="eastAsia" w:ascii="宋体" w:hAnsi="宋体" w:cs="宋体"/>
          <w:sz w:val="44"/>
        </w:rPr>
        <w:t>2021年青浦区物业费项目支出</w:t>
      </w:r>
      <w:r>
        <w:rPr>
          <w:rFonts w:hint="eastAsia" w:ascii="宋体" w:hAnsi="宋体" w:cs="宋体"/>
          <w:sz w:val="44"/>
        </w:rPr>
        <w:br w:type="textWrapping"/>
      </w:r>
      <w:r>
        <w:rPr>
          <w:rFonts w:hint="eastAsia" w:ascii="宋体" w:hAnsi="宋体" w:cs="宋体"/>
          <w:sz w:val="44"/>
        </w:rPr>
        <w:t>绩效评价结果信息公开</w:t>
      </w:r>
    </w:p>
    <w:p>
      <w:pPr>
        <w:spacing w:after="156" w:afterLines="50" w:line="360" w:lineRule="auto"/>
        <w:ind w:firstLine="480" w:firstLineChars="200"/>
        <w:outlineLvl w:val="0"/>
        <w:rPr>
          <w:rFonts w:hint="eastAsia" w:ascii="宋体" w:hAnsi="宋体" w:cs="宋体"/>
          <w:sz w:val="24"/>
        </w:rPr>
      </w:pPr>
      <w:r>
        <w:rPr>
          <w:rFonts w:hint="eastAsia" w:ascii="宋体" w:hAnsi="宋体" w:cs="宋体"/>
          <w:sz w:val="24"/>
        </w:rPr>
        <w:t>为加强财政支出管理，强化支出责任，提高财政资金使用绩效，根据区委区政府《关于我区全面实施预算绩效管理的实施意见》（青委〔2019〕245号）文件精神，2022年，青浦区财政局组织对2021年青浦区物业费项目支出实施绩效评价，并委托上海中佳永信会计师事务所有限公司具体</w:t>
      </w:r>
      <w:bookmarkStart w:id="3" w:name="_GoBack"/>
      <w:bookmarkEnd w:id="3"/>
      <w:r>
        <w:rPr>
          <w:rFonts w:hint="eastAsia" w:ascii="宋体" w:hAnsi="宋体" w:cs="宋体"/>
          <w:sz w:val="24"/>
        </w:rPr>
        <w:t>实施</w:t>
      </w:r>
      <w:r>
        <w:rPr>
          <w:rFonts w:hint="eastAsia" w:ascii="宋体" w:hAnsi="宋体" w:cs="宋体"/>
          <w:sz w:val="24"/>
          <w:lang w:eastAsia="zh-CN"/>
        </w:rPr>
        <w:t>，</w:t>
      </w:r>
      <w:r>
        <w:rPr>
          <w:rFonts w:hint="eastAsia" w:ascii="宋体" w:hAnsi="宋体" w:cs="宋体"/>
          <w:sz w:val="24"/>
        </w:rPr>
        <w:t>区机管局和区财政局围绕预算管理、项目管理及财政内部管理等进行绩效评价结果落实应用。</w:t>
      </w:r>
    </w:p>
    <w:p>
      <w:pPr>
        <w:spacing w:after="156" w:afterLines="50" w:line="360" w:lineRule="auto"/>
        <w:ind w:firstLine="480" w:firstLineChars="200"/>
        <w:outlineLvl w:val="0"/>
        <w:rPr>
          <w:rFonts w:ascii="宋体" w:hAnsi="宋体" w:cs="宋体"/>
          <w:sz w:val="24"/>
        </w:rPr>
      </w:pPr>
      <w:r>
        <w:rPr>
          <w:rFonts w:hint="eastAsia" w:ascii="宋体" w:hAnsi="宋体" w:cs="宋体"/>
          <w:sz w:val="24"/>
        </w:rPr>
        <w:t>一、项目概况</w:t>
      </w:r>
    </w:p>
    <w:p>
      <w:pPr>
        <w:spacing w:after="156" w:afterLines="50" w:line="360" w:lineRule="auto"/>
        <w:ind w:firstLine="480" w:firstLineChars="200"/>
        <w:rPr>
          <w:rFonts w:ascii="宋体" w:hAnsi="宋体" w:cs="宋体"/>
          <w:sz w:val="24"/>
        </w:rPr>
      </w:pPr>
      <w:bookmarkStart w:id="0" w:name="_Toc8302516"/>
      <w:bookmarkStart w:id="1" w:name="_Toc8989863"/>
      <w:bookmarkStart w:id="2" w:name="_Toc8409617"/>
      <w:r>
        <w:rPr>
          <w:rFonts w:hint="eastAsia" w:ascii="宋体" w:hAnsi="宋体" w:cs="宋体"/>
          <w:sz w:val="24"/>
        </w:rPr>
        <w:t>政府机关办公区域及公共服务区域的物业管理是政府机构运行的常规、基础性后勤保障工作，青浦区机关事务管理局（以下简称区机管局）是负责青浦区党政机关后勤事务管理工作的政府部门。依据《上海市机关事务管理办法》（沪府令49号）第二十六条，市和区机关事务主管部门应当推进机关后勤服务社会化改革，鼓励和引导社会力量为机关提供专业化服务。政府各部门应当按照政府购买服务的相关规定，根据后勤服务项目和标准，选择具有相应资质或者能力的社会服务机构承接后勤服务工作。区机管局每年编制相关的预算经费，用于开展区机管局直接管理的政府机关办公和公共服务区域的社会化日常运行服务工作。</w:t>
      </w:r>
    </w:p>
    <w:p>
      <w:pPr>
        <w:spacing w:after="156" w:afterLines="50" w:line="360" w:lineRule="auto"/>
        <w:ind w:firstLine="480" w:firstLineChars="200"/>
        <w:rPr>
          <w:rFonts w:ascii="宋体" w:hAnsi="宋体" w:cs="宋体"/>
          <w:sz w:val="24"/>
        </w:rPr>
      </w:pPr>
      <w:r>
        <w:rPr>
          <w:rFonts w:hint="eastAsia" w:ascii="宋体" w:hAnsi="宋体" w:cs="宋体"/>
          <w:sz w:val="24"/>
        </w:rPr>
        <w:t>2021年青浦区物业费项目（以下简称本项目）所涉区机管局长期直接管理的政府机关办公区域有10处，为民防（科创），卫生中心，特保大队，会议中心，监察委、审计局，司法残联，房地大楼，区直机关，55号和朱家角新溪路100号（原财苑宾馆）。根据《关于修订〈青浦区行政事业单位办公场所物业管理办法〉的通知》（青机管〔2017〕38号）的相关规定，机关办公楼物业服务的内容主要包括：保洁服务、保安服务、维修服务、专业服务、配套服务、垦荒保洁和会务服务。区级部门对所属单位或部门的物业服务，实行统一管理、统一编制预算和管理。</w:t>
      </w:r>
    </w:p>
    <w:p>
      <w:pPr>
        <w:spacing w:after="156" w:afterLines="50" w:line="360" w:lineRule="auto"/>
        <w:ind w:firstLine="480" w:firstLineChars="200"/>
        <w:rPr>
          <w:rFonts w:ascii="宋体" w:hAnsi="宋体" w:cs="宋体"/>
          <w:sz w:val="24"/>
        </w:rPr>
      </w:pPr>
      <w:r>
        <w:rPr>
          <w:rFonts w:hint="eastAsia" w:ascii="宋体" w:hAnsi="宋体" w:cs="宋体"/>
          <w:sz w:val="24"/>
        </w:rPr>
        <w:t>本项目作为区机管局的常态化工作一直持续安排，通常情况下一次招标、沿用三年，合同一年一签，并按季度向服务商支付费用。2021年本项目在区机管局公用经费中支出。本项目2021年初预算为2,721.04万元，调整后预算为2,770.64万元，全年支出2,698.04万元，预算执行率为97.38%。</w:t>
      </w:r>
    </w:p>
    <w:bookmarkEnd w:id="0"/>
    <w:bookmarkEnd w:id="1"/>
    <w:bookmarkEnd w:id="2"/>
    <w:p>
      <w:pPr>
        <w:spacing w:after="156" w:afterLines="50" w:line="360" w:lineRule="auto"/>
        <w:ind w:firstLine="480" w:firstLineChars="200"/>
        <w:rPr>
          <w:rFonts w:ascii="宋体" w:hAnsi="宋体" w:cs="宋体"/>
          <w:sz w:val="24"/>
        </w:rPr>
      </w:pPr>
      <w:r>
        <w:rPr>
          <w:rFonts w:hint="eastAsia" w:ascii="宋体" w:hAnsi="宋体" w:cs="宋体"/>
          <w:sz w:val="24"/>
        </w:rPr>
        <w:t>本项目设立的主要目的是购买项目范围内的政府机关办公区域的保安、保洁、维修、绿化、会务等专业服务，确保办公设备设施和公共服务区域的正常运作，为机关工作人员和来访办事人员提供良好、安全的工作环境和服务支持，保障相关区政府部门工作的正常开展。</w:t>
      </w:r>
    </w:p>
    <w:p>
      <w:pPr>
        <w:spacing w:after="156" w:afterLines="50" w:line="360" w:lineRule="auto"/>
        <w:ind w:firstLine="480" w:firstLineChars="200"/>
        <w:outlineLvl w:val="0"/>
        <w:rPr>
          <w:rFonts w:ascii="宋体" w:hAnsi="宋体" w:cs="宋体"/>
          <w:sz w:val="24"/>
        </w:rPr>
      </w:pPr>
      <w:r>
        <w:rPr>
          <w:rFonts w:hint="eastAsia" w:ascii="宋体" w:hAnsi="宋体" w:cs="宋体"/>
          <w:sz w:val="24"/>
        </w:rPr>
        <w:t>二、评价工作开展情况</w:t>
      </w:r>
    </w:p>
    <w:p>
      <w:pPr>
        <w:spacing w:after="156" w:afterLines="50" w:line="360" w:lineRule="auto"/>
        <w:ind w:firstLine="480" w:firstLineChars="200"/>
        <w:rPr>
          <w:rFonts w:ascii="宋体" w:hAnsi="宋体" w:cs="宋体"/>
          <w:sz w:val="24"/>
        </w:rPr>
      </w:pPr>
      <w:r>
        <w:rPr>
          <w:rFonts w:hint="eastAsia" w:ascii="宋体" w:hAnsi="宋体" w:cs="宋体"/>
          <w:sz w:val="24"/>
        </w:rPr>
        <w:t>本次评价范围为2021年青浦区物业费项目支出所涉及子项，评价内容包括立项必要性、管理规范性、资金使用的合规性、产出和效果目标的实现程度，并通过调研方式了解现行青浦区物业支出标准是否合理，是否符合市场价格，服务商的成本和利润情况等。本次评价遵循科学规范、独立客观和绩效相关原则，制定方案并采用数据采集、访谈、问卷调查、成本效益分析等方式开展绩效评价工作。</w:t>
      </w:r>
    </w:p>
    <w:p>
      <w:pPr>
        <w:spacing w:after="156" w:afterLines="50" w:line="360" w:lineRule="auto"/>
        <w:ind w:firstLine="480" w:firstLineChars="200"/>
        <w:outlineLvl w:val="0"/>
        <w:rPr>
          <w:rFonts w:ascii="宋体" w:hAnsi="宋体" w:cs="宋体"/>
          <w:sz w:val="24"/>
        </w:rPr>
      </w:pPr>
      <w:r>
        <w:rPr>
          <w:rFonts w:hint="eastAsia" w:ascii="宋体" w:hAnsi="宋体" w:cs="宋体"/>
          <w:sz w:val="24"/>
        </w:rPr>
        <w:t>三、评价结论和主要绩效</w:t>
      </w:r>
    </w:p>
    <w:p>
      <w:pPr>
        <w:spacing w:after="156" w:afterLines="50" w:line="360" w:lineRule="auto"/>
        <w:ind w:firstLine="480" w:firstLineChars="200"/>
        <w:rPr>
          <w:rFonts w:ascii="宋体" w:hAnsi="宋体" w:cs="宋体"/>
          <w:sz w:val="24"/>
        </w:rPr>
      </w:pPr>
      <w:r>
        <w:rPr>
          <w:rFonts w:hint="eastAsia" w:ascii="宋体" w:hAnsi="宋体" w:cs="宋体"/>
          <w:sz w:val="24"/>
        </w:rPr>
        <w:t>评价组运用自行设计并在专家组论证后修改完善的评价指标体系及评分标准，通过财务核查、数据采集、问卷调查、访谈及成本效益分析等评价流程，对区机管局“2021年青浦区物业费项目支出”绩效进行客观评价，最终评分结果：总分为85.95分，绩效评级为“良”。其中：决策类指标权重分15分，得分为12.5分，得分率为83.33%；过程类指标权重分25分，得分为21分，得分率为84%；产出类指标权重分35分，得分为29.05分，得分率为83%；效益类指标权重分25分，得分为23.4分，得分率为93.6%。</w:t>
      </w:r>
    </w:p>
    <w:p>
      <w:pPr>
        <w:spacing w:after="156" w:afterLines="50" w:line="360" w:lineRule="auto"/>
        <w:ind w:firstLine="480" w:firstLineChars="200"/>
        <w:rPr>
          <w:rFonts w:ascii="宋体" w:hAnsi="宋体" w:cs="宋体"/>
          <w:sz w:val="24"/>
        </w:rPr>
      </w:pPr>
      <w:r>
        <w:rPr>
          <w:rFonts w:hint="eastAsia" w:ascii="宋体" w:hAnsi="宋体" w:cs="宋体"/>
          <w:sz w:val="24"/>
        </w:rPr>
        <w:t>2021年，区机管局直管办公点保安、保洁、维修等服务总体履约情况良好，服务考核达标，服务完成及时；各办公点服务响应率、及时响应率、最终办结率均达到100%，对各类投诉事件均及时妥善处置，服务利润控制总体情况基本良好，服务费用总体可以维持服务商正常运营；各类设备设施均能在物业服务下及时完成检修，无安全运行责任事故，各办公点日常运行保障、公共服务区域环境均较为良好，办公人员满意度达93.42%。但本项目存在合同服务期不统一、合同履约有效性不足、部分办公点发现服务质量不到位情况较多等问题，需要进一步严格规范各环节程序。</w:t>
      </w:r>
    </w:p>
    <w:p>
      <w:pPr>
        <w:spacing w:after="156" w:afterLines="50" w:line="360" w:lineRule="auto"/>
        <w:ind w:firstLine="480" w:firstLineChars="200"/>
        <w:outlineLvl w:val="0"/>
        <w:rPr>
          <w:rFonts w:ascii="宋体" w:hAnsi="宋体" w:cs="宋体"/>
          <w:sz w:val="24"/>
        </w:rPr>
      </w:pPr>
      <w:r>
        <w:rPr>
          <w:rFonts w:hint="eastAsia" w:ascii="宋体" w:hAnsi="宋体" w:cs="宋体"/>
          <w:sz w:val="24"/>
        </w:rPr>
        <w:t>四、主要经验、问题和建议</w:t>
      </w:r>
    </w:p>
    <w:p>
      <w:pPr>
        <w:spacing w:after="156" w:afterLines="50" w:line="360" w:lineRule="auto"/>
        <w:ind w:firstLine="480" w:firstLineChars="200"/>
        <w:outlineLvl w:val="1"/>
        <w:rPr>
          <w:rFonts w:ascii="宋体" w:hAnsi="宋体" w:cs="宋体"/>
          <w:sz w:val="24"/>
        </w:rPr>
      </w:pPr>
      <w:r>
        <w:rPr>
          <w:rFonts w:hint="eastAsia" w:ascii="宋体" w:hAnsi="宋体" w:cs="宋体"/>
          <w:sz w:val="24"/>
        </w:rPr>
        <w:t>（一）主要经验</w:t>
      </w:r>
    </w:p>
    <w:p>
      <w:pPr>
        <w:spacing w:after="156" w:afterLines="50" w:line="360" w:lineRule="auto"/>
        <w:ind w:firstLine="480" w:firstLineChars="200"/>
        <w:outlineLvl w:val="2"/>
        <w:rPr>
          <w:rFonts w:ascii="宋体" w:hAnsi="宋体" w:cs="宋体"/>
          <w:sz w:val="24"/>
        </w:rPr>
      </w:pPr>
      <w:r>
        <w:rPr>
          <w:rFonts w:hint="eastAsia" w:ascii="宋体" w:hAnsi="宋体" w:cs="宋体"/>
          <w:sz w:val="24"/>
        </w:rPr>
        <w:t>区机管局监督巡查管理严格，建立了东西部驻点办公机制，加强监管与沟通</w:t>
      </w:r>
    </w:p>
    <w:p>
      <w:pPr>
        <w:spacing w:after="156" w:afterLines="50" w:line="360" w:lineRule="auto"/>
        <w:ind w:firstLine="480" w:firstLineChars="200"/>
        <w:rPr>
          <w:rFonts w:ascii="宋体" w:hAnsi="宋体" w:cs="宋体"/>
          <w:sz w:val="24"/>
        </w:rPr>
      </w:pPr>
      <w:r>
        <w:rPr>
          <w:rFonts w:hint="eastAsia" w:ascii="宋体" w:hAnsi="宋体" w:cs="宋体"/>
          <w:sz w:val="24"/>
        </w:rPr>
        <w:t>区机管局每月进行安全秩序环境卫生巡查并出具巡查报告，每月进行物业管理监管并出具专报，全年直管办公点保安、物业等服务总体情况较好，疫情防控措施、垃圾分类、环境卫生、安全保障、标准化规范等得到有效落实，服务供应商针对季度考核发现的大多数问题基本能够及时整改到位，部分物业点创新工作做法，工作态度积极认真。此外，区机管局还建立了东西部驻点办公机制，分为东片和西片驻点管理，加强现场监管及与业主沟通。</w:t>
      </w:r>
    </w:p>
    <w:p>
      <w:pPr>
        <w:spacing w:after="156" w:afterLines="50" w:line="360" w:lineRule="auto"/>
        <w:ind w:firstLine="480" w:firstLineChars="200"/>
        <w:outlineLvl w:val="1"/>
        <w:rPr>
          <w:rFonts w:ascii="宋体" w:hAnsi="宋体" w:cs="宋体"/>
          <w:sz w:val="24"/>
        </w:rPr>
      </w:pPr>
      <w:r>
        <w:rPr>
          <w:rFonts w:hint="eastAsia" w:ascii="宋体" w:hAnsi="宋体" w:cs="宋体"/>
          <w:sz w:val="24"/>
        </w:rPr>
        <w:t>（二）存在问题</w:t>
      </w:r>
    </w:p>
    <w:p>
      <w:pPr>
        <w:spacing w:after="156" w:afterLines="50" w:line="360" w:lineRule="auto"/>
        <w:ind w:firstLine="480" w:firstLineChars="200"/>
        <w:outlineLvl w:val="2"/>
        <w:rPr>
          <w:rFonts w:ascii="宋体" w:hAnsi="宋体" w:cs="宋体"/>
          <w:sz w:val="24"/>
        </w:rPr>
      </w:pPr>
      <w:r>
        <w:rPr>
          <w:rFonts w:hint="eastAsia" w:ascii="宋体" w:hAnsi="宋体" w:cs="宋体"/>
          <w:sz w:val="24"/>
        </w:rPr>
        <w:t>1．合同服务期不统一，导致规范化管理难度加大</w:t>
      </w:r>
    </w:p>
    <w:p>
      <w:pPr>
        <w:spacing w:after="156" w:afterLines="50" w:line="360" w:lineRule="auto"/>
        <w:ind w:firstLine="480" w:firstLineChars="200"/>
        <w:rPr>
          <w:rFonts w:ascii="宋体" w:hAnsi="宋体" w:cs="宋体"/>
          <w:sz w:val="24"/>
        </w:rPr>
      </w:pPr>
      <w:r>
        <w:rPr>
          <w:rFonts w:hint="eastAsia" w:ascii="宋体" w:hAnsi="宋体" w:cs="宋体"/>
          <w:sz w:val="24"/>
        </w:rPr>
        <w:t>由于部分办公点启用时间非自然年度1月1日，导致部分办公点每年服务期开始时间不一致，例如：监察委审计大楼合同服务期为2021年1月7日至2022年1月6日；旅游房地物业合同服务期为2020年11月1日至2021年10月31日；区直机关物业合同服务期为2020年10月11日至2021年10月10日等，由于签订合同数量众多，时间节点不一，不便于规范化管理。</w:t>
      </w:r>
    </w:p>
    <w:p>
      <w:pPr>
        <w:spacing w:after="156" w:afterLines="50" w:line="360" w:lineRule="auto"/>
        <w:ind w:firstLine="480" w:firstLineChars="200"/>
        <w:outlineLvl w:val="2"/>
        <w:rPr>
          <w:rFonts w:ascii="宋体" w:hAnsi="宋体" w:cs="宋体"/>
          <w:sz w:val="24"/>
        </w:rPr>
      </w:pPr>
      <w:r>
        <w:rPr>
          <w:rFonts w:hint="eastAsia" w:ascii="宋体" w:hAnsi="宋体" w:cs="宋体"/>
          <w:sz w:val="24"/>
        </w:rPr>
        <w:t>2．部分办公点发现服务质量不到位情况较多</w:t>
      </w:r>
    </w:p>
    <w:p>
      <w:pPr>
        <w:spacing w:after="156" w:afterLines="50" w:line="360" w:lineRule="auto"/>
        <w:ind w:firstLine="480" w:firstLineChars="200"/>
        <w:rPr>
          <w:rFonts w:ascii="宋体" w:hAnsi="宋体" w:cs="宋体"/>
          <w:sz w:val="24"/>
        </w:rPr>
      </w:pPr>
      <w:r>
        <w:rPr>
          <w:rFonts w:hint="eastAsia" w:ascii="宋体" w:hAnsi="宋体" w:cs="宋体"/>
          <w:sz w:val="24"/>
        </w:rPr>
        <w:t>评价组通过统计发现，民防（科创）、监察委审计局、特保大队、房地大楼办公点全年考核发现的服务质量不到位情况数量均高于其他办公点。此外，直管办公点中有4处办公点反映垃圾清理不到位、杂物堆放等问题，对公共服务区域环境产生不良影响。</w:t>
      </w:r>
    </w:p>
    <w:p>
      <w:pPr>
        <w:spacing w:after="156" w:afterLines="50" w:line="360" w:lineRule="auto"/>
        <w:ind w:firstLine="480" w:firstLineChars="200"/>
        <w:outlineLvl w:val="1"/>
        <w:rPr>
          <w:rFonts w:ascii="宋体" w:hAnsi="宋体" w:cs="宋体"/>
          <w:sz w:val="24"/>
        </w:rPr>
      </w:pPr>
      <w:r>
        <w:rPr>
          <w:rFonts w:hint="eastAsia" w:ascii="宋体" w:hAnsi="宋体" w:cs="宋体"/>
          <w:sz w:val="24"/>
        </w:rPr>
        <w:t>（三）改进意见和建议</w:t>
      </w:r>
    </w:p>
    <w:p>
      <w:pPr>
        <w:spacing w:after="156" w:afterLines="50" w:line="360" w:lineRule="auto"/>
        <w:ind w:firstLine="480" w:firstLineChars="200"/>
        <w:outlineLvl w:val="2"/>
        <w:rPr>
          <w:rFonts w:ascii="宋体" w:hAnsi="宋体" w:cs="宋体"/>
          <w:sz w:val="24"/>
        </w:rPr>
      </w:pPr>
      <w:r>
        <w:rPr>
          <w:rFonts w:hint="eastAsia" w:ascii="宋体" w:hAnsi="宋体" w:cs="宋体"/>
          <w:sz w:val="24"/>
        </w:rPr>
        <w:t>1．分步统一合同服务期限，强化合同管理规范性</w:t>
      </w:r>
    </w:p>
    <w:p>
      <w:pPr>
        <w:spacing w:after="156" w:afterLines="50" w:line="360" w:lineRule="auto"/>
        <w:ind w:firstLine="480" w:firstLineChars="200"/>
        <w:rPr>
          <w:rFonts w:ascii="宋体" w:hAnsi="宋体" w:cs="宋体"/>
          <w:sz w:val="24"/>
        </w:rPr>
      </w:pPr>
      <w:r>
        <w:rPr>
          <w:rFonts w:hint="eastAsia" w:ascii="宋体" w:hAnsi="宋体" w:cs="宋体"/>
          <w:sz w:val="24"/>
        </w:rPr>
        <w:t>由于直管办公点不定时存在合并、装修重新启用等情况，需根据启用时间分别招投标确定服务时间，故合同不能统一采购，需分开采购。建议区机管局直管办公点在合同一年一签的情况下，通过线下签订合同方式分步按季度或半年度调整统一合同服务期，并且进一步规范管理合同内容、质量标准等方面，方便合同管理和后续年度招投标工作。</w:t>
      </w:r>
    </w:p>
    <w:p>
      <w:pPr>
        <w:spacing w:after="156" w:afterLines="50" w:line="360" w:lineRule="auto"/>
        <w:ind w:firstLine="480" w:firstLineChars="200"/>
        <w:outlineLvl w:val="2"/>
        <w:rPr>
          <w:rFonts w:ascii="宋体" w:hAnsi="宋体" w:cs="宋体"/>
          <w:sz w:val="24"/>
        </w:rPr>
      </w:pPr>
      <w:r>
        <w:rPr>
          <w:rFonts w:hint="eastAsia" w:ascii="宋体" w:hAnsi="宋体" w:cs="宋体"/>
          <w:sz w:val="24"/>
        </w:rPr>
        <w:t>2．建议服务供应商加强规范化和标准化学习培训，推动服务标准化建设</w:t>
      </w:r>
    </w:p>
    <w:p>
      <w:pPr>
        <w:spacing w:after="156" w:afterLines="50" w:line="360" w:lineRule="auto"/>
        <w:ind w:firstLine="480" w:firstLineChars="200"/>
        <w:rPr>
          <w:rFonts w:ascii="宋体" w:hAnsi="宋体" w:cs="宋体"/>
          <w:sz w:val="24"/>
        </w:rPr>
      </w:pPr>
      <w:r>
        <w:rPr>
          <w:rFonts w:hint="eastAsia" w:ascii="宋体" w:hAnsi="宋体" w:cs="宋体"/>
          <w:sz w:val="24"/>
        </w:rPr>
        <w:t>建议各服务供应商加强思想重视，通过集中学习、专题培训、技能比赛等多种形式，进一步规范工作人员服务标准化。区机管局采用定期和不定期的检查，建立健全考核监督机制，狠抓落实、跟踪问效，真正使标准化建设取得更大成效。同时各物业点之间可以加强交流，取长补短，进一步加强推进标准化建设落实。</w:t>
      </w:r>
    </w:p>
    <w:p>
      <w:pPr>
        <w:spacing w:after="156" w:afterLines="50" w:line="360" w:lineRule="auto"/>
        <w:ind w:firstLine="480" w:firstLineChars="200"/>
        <w:outlineLvl w:val="1"/>
        <w:rPr>
          <w:rFonts w:ascii="宋体" w:hAnsi="宋体" w:cs="宋体"/>
          <w:sz w:val="24"/>
        </w:rPr>
      </w:pPr>
      <w:r>
        <w:rPr>
          <w:rFonts w:hint="eastAsia" w:ascii="宋体" w:hAnsi="宋体" w:cs="宋体"/>
          <w:sz w:val="24"/>
        </w:rPr>
        <w:t>（四）有关预算的建议</w:t>
      </w:r>
    </w:p>
    <w:p>
      <w:pPr>
        <w:spacing w:after="156" w:afterLines="50" w:line="360" w:lineRule="auto"/>
        <w:ind w:firstLine="480" w:firstLineChars="200"/>
        <w:outlineLvl w:val="2"/>
        <w:rPr>
          <w:rFonts w:ascii="宋体" w:hAnsi="宋体" w:cs="宋体"/>
          <w:sz w:val="24"/>
        </w:rPr>
      </w:pPr>
      <w:r>
        <w:rPr>
          <w:rFonts w:hint="eastAsia" w:ascii="宋体" w:hAnsi="宋体" w:cs="宋体"/>
          <w:sz w:val="24"/>
        </w:rPr>
        <w:t>1．建议2022年调减年初预算57.03万元，调整后预算为2972.77万元</w:t>
      </w:r>
    </w:p>
    <w:p>
      <w:pPr>
        <w:spacing w:after="156" w:afterLines="50" w:line="360" w:lineRule="auto"/>
        <w:ind w:firstLine="480" w:firstLineChars="200"/>
        <w:rPr>
          <w:rFonts w:ascii="宋体" w:hAnsi="宋体" w:cs="宋体"/>
          <w:sz w:val="24"/>
        </w:rPr>
      </w:pPr>
      <w:r>
        <w:rPr>
          <w:rFonts w:hint="eastAsia" w:ascii="宋体" w:hAnsi="宋体" w:cs="宋体"/>
          <w:sz w:val="24"/>
        </w:rPr>
        <w:t>卫生中心保安、物业签订合同期为2020年11月1日至2021年12月31日，2021年区机管局根据合同编制了14个月预算，由于实际按季度支付，执行时仅支付2020年11月1日至2021年10月31日共12个月费用，2021年11月和12月两个月的费用实际跨年延后到2022年支付。故卫生中心保安、物业预算编制不够精确，影响了预算执行率。</w:t>
      </w:r>
    </w:p>
    <w:p>
      <w:pPr>
        <w:spacing w:after="156" w:afterLines="50" w:line="360" w:lineRule="auto"/>
        <w:ind w:firstLine="480" w:firstLineChars="200"/>
        <w:rPr>
          <w:rFonts w:ascii="宋体" w:hAnsi="宋体" w:cs="宋体"/>
          <w:sz w:val="24"/>
        </w:rPr>
      </w:pPr>
      <w:r>
        <w:rPr>
          <w:rFonts w:hint="eastAsia" w:ascii="宋体" w:hAnsi="宋体" w:cs="宋体"/>
          <w:sz w:val="24"/>
        </w:rPr>
        <w:t>本项目2022年初预算3,029.80万元，卫生中心仍参照2021年编制了14个月预算，建议2022年卫生中心物业保安费按照2021年度实际全年支付费用安排预算163万元，调减30.71万元；2022年卫生中心物业保洁费按照2021年度实际全年支付费用安排预算158万元，调减26.32万元，合计2022年预算调减57.03万元。</w:t>
      </w:r>
    </w:p>
    <w:p>
      <w:pPr>
        <w:spacing w:after="156" w:afterLines="50" w:line="360" w:lineRule="auto"/>
        <w:ind w:firstLine="480" w:firstLineChars="200"/>
        <w:outlineLvl w:val="2"/>
        <w:rPr>
          <w:rFonts w:ascii="宋体" w:hAnsi="宋体" w:cs="宋体"/>
          <w:sz w:val="24"/>
        </w:rPr>
      </w:pPr>
      <w:r>
        <w:rPr>
          <w:rFonts w:hint="eastAsia" w:ascii="宋体" w:hAnsi="宋体" w:cs="宋体"/>
          <w:sz w:val="24"/>
        </w:rPr>
        <w:t>2．建议2023年预算编制</w:t>
      </w:r>
    </w:p>
    <w:p>
      <w:pPr>
        <w:spacing w:after="156" w:afterLines="50" w:line="360" w:lineRule="auto"/>
        <w:ind w:firstLine="480" w:firstLineChars="200"/>
        <w:rPr>
          <w:rFonts w:ascii="宋体" w:hAnsi="宋体" w:cs="宋体"/>
          <w:sz w:val="24"/>
        </w:rPr>
      </w:pPr>
      <w:r>
        <w:rPr>
          <w:rFonts w:hint="eastAsia" w:ascii="宋体" w:hAnsi="宋体" w:cs="宋体"/>
          <w:sz w:val="24"/>
        </w:rPr>
        <w:t>建议区机管局参考本次评价的费用标准测算结果，将其作为2023年预算的编制基础。此类跨年度执行的服务合同，均按照预算年度预计需要支付的资金测算，具体采购环节根据合同标的金额采购，采购标的如与年度预算不一致的，可请财政部门确定，即可正常启动政府采购。</w:t>
      </w:r>
    </w:p>
    <w:p>
      <w:pPr>
        <w:spacing w:after="156" w:afterLines="50" w:line="360" w:lineRule="auto"/>
        <w:ind w:firstLine="480" w:firstLineChars="200"/>
        <w:outlineLvl w:val="0"/>
        <w:rPr>
          <w:rFonts w:ascii="宋体" w:hAnsi="宋体" w:cs="宋体"/>
          <w:sz w:val="24"/>
        </w:rPr>
      </w:pPr>
      <w:r>
        <w:rPr>
          <w:rFonts w:hint="eastAsia" w:ascii="宋体" w:hAnsi="宋体" w:cs="宋体"/>
          <w:sz w:val="24"/>
        </w:rPr>
        <w:t>五、其他需要说明的情况</w:t>
      </w:r>
    </w:p>
    <w:p>
      <w:pPr>
        <w:spacing w:after="156" w:afterLines="50" w:line="360" w:lineRule="auto"/>
        <w:ind w:firstLine="480" w:firstLineChars="200"/>
        <w:rPr>
          <w:rFonts w:ascii="宋体" w:hAnsi="宋体" w:cs="宋体"/>
          <w:sz w:val="24"/>
        </w:rPr>
      </w:pPr>
      <w:r>
        <w:rPr>
          <w:rFonts w:hint="eastAsia" w:ascii="宋体" w:hAnsi="宋体" w:cs="宋体"/>
          <w:sz w:val="24"/>
        </w:rPr>
        <w:t>经评价组成本效益分析，目前的实际服务水平已经基本满足了各部门的需要，根据抽样服务供应商提供的财务数据测算出平均利润率为2.70%。说明以青机管〔2017〕38号文所附物业费用标准为上限报价，工资支出符合2022年工资标准及社保、公积金缴费政策要求的情况下，物业服务项目仍有盈利，故青浦区费用标准合理。</w:t>
      </w:r>
    </w:p>
    <w:p>
      <w:pPr>
        <w:spacing w:after="156" w:afterLines="50" w:line="360" w:lineRule="auto"/>
        <w:ind w:firstLine="480" w:firstLineChars="200"/>
        <w:rPr>
          <w:rFonts w:ascii="宋体" w:hAnsi="宋体" w:cs="宋体"/>
          <w:sz w:val="24"/>
        </w:rPr>
      </w:pPr>
      <w:r>
        <w:rPr>
          <w:rFonts w:hint="eastAsia" w:ascii="宋体" w:hAnsi="宋体" w:cs="宋体"/>
          <w:sz w:val="24"/>
        </w:rPr>
        <w:t>此外，青浦区9个区机管局直管办公点平均的月均服务费为18.63元/平方米/月，72个非直管办公点平均的月均服务费为17.73元/平方米/月，同比均低于沪财预〔2017〕92号文中市级（不高于30元/平方米/月）、周边区（不高于20元/平方米/月）费用标准，处于正常范围水平。</w:t>
      </w:r>
    </w:p>
    <w:p>
      <w:pPr>
        <w:spacing w:after="156" w:afterLines="50" w:line="360" w:lineRule="auto"/>
        <w:ind w:firstLine="480" w:firstLineChars="200"/>
        <w:rPr>
          <w:rFonts w:ascii="宋体" w:hAnsi="宋体" w:cs="宋体"/>
          <w:sz w:val="24"/>
        </w:rPr>
      </w:pPr>
      <w:r>
        <w:rPr>
          <w:rFonts w:hint="eastAsia" w:ascii="宋体" w:hAnsi="宋体" w:cs="宋体"/>
          <w:sz w:val="24"/>
        </w:rPr>
        <w:t>综上，服务商的利润率虽有下降，但仍处于可以正常运行的区间，故暂不调整现行物业经费保障标准，锁定现行的服务供给实际水平。针对总体低利润、个别合同高利润或亏损的情况，建议未来同一招标主体可采用大小项目组合招标的形式，平衡服务商的收益。此外，建议区机管局应按照各服务合同或服务供应商招投标承诺的人员数，严格、有效监督各办公点服务人员人岗匹配情况。</w:t>
      </w:r>
    </w:p>
    <w:p>
      <w:pPr>
        <w:spacing w:after="156" w:afterLines="50" w:line="360" w:lineRule="auto"/>
        <w:ind w:firstLine="480" w:firstLineChars="200"/>
        <w:outlineLvl w:val="0"/>
        <w:rPr>
          <w:rFonts w:ascii="宋体" w:hAnsi="宋体" w:cs="宋体"/>
          <w:sz w:val="24"/>
        </w:rPr>
      </w:pPr>
      <w:r>
        <w:rPr>
          <w:rFonts w:hint="eastAsia" w:ascii="宋体" w:hAnsi="宋体" w:cs="宋体"/>
          <w:sz w:val="24"/>
        </w:rPr>
        <w:t>六、结果应用情况</w:t>
      </w:r>
    </w:p>
    <w:p>
      <w:pPr>
        <w:spacing w:after="156" w:afterLines="50" w:line="360" w:lineRule="auto"/>
        <w:ind w:firstLine="480" w:firstLineChars="200"/>
        <w:rPr>
          <w:rFonts w:ascii="宋体" w:hAnsi="宋体" w:cs="宋体"/>
          <w:sz w:val="24"/>
        </w:rPr>
      </w:pPr>
      <w:r>
        <w:rPr>
          <w:rFonts w:hint="eastAsia" w:ascii="宋体" w:hAnsi="宋体" w:cs="宋体"/>
          <w:sz w:val="24"/>
        </w:rPr>
        <w:t>（一）机管局直管集中办公点通过每年度及时调整预算，签订线下合同等方式统一调整合同服务期（原则上1月1日-12月31日），目前还有3份合同未统一日期。加强合同审核，规范合同内容，做好合同管理和后续年度招标工作。</w:t>
      </w:r>
    </w:p>
    <w:p>
      <w:pPr>
        <w:spacing w:after="156" w:afterLines="50" w:line="360" w:lineRule="auto"/>
        <w:ind w:firstLine="480" w:firstLineChars="200"/>
        <w:rPr>
          <w:rFonts w:ascii="宋体" w:hAnsi="宋体" w:cs="宋体"/>
          <w:sz w:val="24"/>
        </w:rPr>
      </w:pPr>
      <w:r>
        <w:rPr>
          <w:rFonts w:hint="eastAsia" w:ascii="宋体" w:hAnsi="宋体" w:cs="宋体"/>
          <w:sz w:val="24"/>
        </w:rPr>
        <w:t>（二）根据青机管〔2022〕8号文件的相关规定，成立物业点派驻组统筹协调集中办公点区域内机关事务管理和服务保障各项事宜，一口受理各入驻单位提出的后勤管理和服务保障需求、投诉、建议等。负责集中办公点区域内物业管理，包括对外包物业服务单位的日常监管、检查、考核，提出年度考核建议；做好安全保卫、停车秩序管理、疫情防控、防汛防洪、垃圾分类、外来车辆和人员进出管理等等。通过开展工作例会提高服务供应商服务规范化、标准化能力，做好服务保障工作。</w:t>
      </w:r>
    </w:p>
    <w:p>
      <w:pPr>
        <w:spacing w:after="156" w:afterLines="50" w:line="360" w:lineRule="auto"/>
        <w:ind w:firstLine="480" w:firstLineChars="200"/>
        <w:rPr>
          <w:rFonts w:ascii="宋体" w:hAnsi="宋体" w:cs="宋体"/>
          <w:sz w:val="24"/>
        </w:rPr>
      </w:pPr>
      <w:r>
        <w:rPr>
          <w:rFonts w:hint="eastAsia" w:ascii="宋体" w:hAnsi="宋体" w:cs="宋体"/>
          <w:sz w:val="24"/>
        </w:rPr>
        <w:t>（三）2023年调减华科路550号卫生中心集中办公点预算57.03万元。</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MwMmM1ODlkMDIwZmY4NWY2MTk1Yjk5ZDlhZDAwNTkifQ=="/>
    <w:docVar w:name="KSO_WPS_MARK_KEY" w:val="889a4903-fbbd-42e3-866f-62dc5f5ece9a"/>
  </w:docVars>
  <w:rsids>
    <w:rsidRoot w:val="00A31B20"/>
    <w:rsid w:val="00656AA6"/>
    <w:rsid w:val="00A31B20"/>
    <w:rsid w:val="00D23BE5"/>
    <w:rsid w:val="098D3F10"/>
    <w:rsid w:val="0E281475"/>
    <w:rsid w:val="10F460EB"/>
    <w:rsid w:val="26C97A99"/>
    <w:rsid w:val="26CF6878"/>
    <w:rsid w:val="2A9232F3"/>
    <w:rsid w:val="2B874D6E"/>
    <w:rsid w:val="2D51172D"/>
    <w:rsid w:val="2F077EC2"/>
    <w:rsid w:val="2F155F25"/>
    <w:rsid w:val="310149B3"/>
    <w:rsid w:val="3F9904AC"/>
    <w:rsid w:val="40E37C31"/>
    <w:rsid w:val="425C413F"/>
    <w:rsid w:val="468D3F87"/>
    <w:rsid w:val="4A7C4BF1"/>
    <w:rsid w:val="4BDE39B5"/>
    <w:rsid w:val="4BE16F69"/>
    <w:rsid w:val="53C75190"/>
    <w:rsid w:val="54A72E72"/>
    <w:rsid w:val="5B596BA0"/>
    <w:rsid w:val="5C272C70"/>
    <w:rsid w:val="5DDC68D4"/>
    <w:rsid w:val="5DFC49B9"/>
    <w:rsid w:val="67A96C2F"/>
    <w:rsid w:val="6AFB1E97"/>
    <w:rsid w:val="6C665BCB"/>
    <w:rsid w:val="776F51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28"/>
      <w:szCs w:val="44"/>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3">
    <w:name w:val="footer"/>
    <w:basedOn w:val="1"/>
    <w:qFormat/>
    <w:uiPriority w:val="99"/>
    <w:pPr>
      <w:tabs>
        <w:tab w:val="center" w:pos="4153"/>
        <w:tab w:val="right" w:pos="8306"/>
      </w:tabs>
      <w:snapToGrid w:val="0"/>
      <w:jc w:val="left"/>
    </w:pPr>
    <w:rPr>
      <w:kern w:val="0"/>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8">
    <w:name w:val="List Paragraph"/>
    <w:basedOn w:val="1"/>
    <w:unhideWhenUsed/>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3725</Words>
  <Characters>3993</Characters>
  <Lines>28</Lines>
  <Paragraphs>8</Paragraphs>
  <TotalTime>0</TotalTime>
  <ScaleCrop>false</ScaleCrop>
  <LinksUpToDate>false</LinksUpToDate>
  <CharactersWithSpaces>3993</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2022-10-31T05:28:00Z</dcterms:created>
  <dc:creator>zhuyh94</dc:creator>
  <cp:lastModifiedBy>zhuyh</cp:lastModifiedBy>
  <dcterms:modified xsi:type="dcterms:W3CDTF">2022-11-06T07:36:58Z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BD6189FA12334A72BCB5E31E3BE1450F</vt:lpwstr>
  </property>
</Properties>
</file>