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jc w:val="center"/>
        <w:outlineLvl w:val="0"/>
        <w:rPr>
          <w:rStyle w:val="28"/>
          <w:rFonts w:hint="eastAsia" w:ascii="宋体" w:hAnsi="宋体" w:cs="宋体"/>
          <w:szCs w:val="44"/>
        </w:rPr>
      </w:pPr>
      <w:r>
        <w:rPr>
          <w:rStyle w:val="28"/>
          <w:rFonts w:hint="eastAsia" w:ascii="宋体" w:hAnsi="宋体" w:cs="宋体"/>
          <w:szCs w:val="44"/>
        </w:rPr>
        <w:t>2021年青浦区香花桥街道万人就业</w:t>
      </w:r>
    </w:p>
    <w:p>
      <w:pPr>
        <w:spacing w:after="156" w:afterLines="50" w:line="360" w:lineRule="auto"/>
        <w:jc w:val="center"/>
        <w:outlineLvl w:val="0"/>
        <w:rPr>
          <w:rFonts w:ascii="宋体" w:hAnsi="宋体" w:cs="宋体"/>
          <w:b/>
          <w:sz w:val="44"/>
          <w:szCs w:val="44"/>
        </w:rPr>
      </w:pPr>
      <w:r>
        <w:rPr>
          <w:rStyle w:val="28"/>
          <w:rFonts w:hint="eastAsia" w:ascii="宋体" w:hAnsi="宋体" w:cs="宋体"/>
          <w:szCs w:val="44"/>
        </w:rPr>
        <w:t>项目支出绩效评价结果信息公开</w:t>
      </w:r>
    </w:p>
    <w:p>
      <w:pPr>
        <w:spacing w:after="156" w:afterLines="50" w:line="360" w:lineRule="auto"/>
        <w:ind w:firstLine="480" w:firstLineChars="200"/>
        <w:outlineLvl w:val="0"/>
        <w:rPr>
          <w:rFonts w:hint="eastAsia" w:ascii="宋体" w:hAnsi="宋体" w:cs="宋体"/>
          <w:sz w:val="24"/>
        </w:rPr>
      </w:pPr>
      <w:r>
        <w:rPr>
          <w:rFonts w:hint="eastAsia" w:ascii="宋体" w:hAnsi="宋体" w:cs="宋体"/>
          <w:sz w:val="24"/>
        </w:rPr>
        <w:t>为加强财政支出管理，强化支出责任，提高财政资金使用绩效，根据区委区政府《关于我区全面实施预算绩效管理的实施意见》（青委〔2019〕245号）文件精神，2022年，青浦区财政局组织对2021年青浦区香花桥街道万人就业项目支出实施绩效评价，并委托上海灏略企业管理咨询有限公司</w:t>
      </w:r>
      <w:r>
        <w:rPr>
          <w:rFonts w:hint="eastAsia" w:ascii="宋体" w:hAnsi="宋体" w:cs="宋体"/>
          <w:sz w:val="24"/>
          <w:lang w:val="en-US" w:eastAsia="zh-CN"/>
        </w:rPr>
        <w:t>具体</w:t>
      </w:r>
      <w:r>
        <w:rPr>
          <w:rFonts w:hint="eastAsia" w:ascii="宋体" w:hAnsi="宋体" w:cs="宋体"/>
          <w:sz w:val="24"/>
        </w:rPr>
        <w:t>实施。香花桥街道和区财政局围绕预算管理、项目管理及财政内部管理等进行绩效评价结果落实应用。</w:t>
      </w:r>
    </w:p>
    <w:p>
      <w:pPr>
        <w:spacing w:after="156" w:afterLines="50" w:line="360" w:lineRule="auto"/>
        <w:ind w:firstLine="480" w:firstLineChars="200"/>
        <w:outlineLvl w:val="0"/>
        <w:rPr>
          <w:rFonts w:ascii="宋体" w:hAnsi="宋体" w:cs="宋体"/>
          <w:sz w:val="24"/>
        </w:rPr>
      </w:pPr>
      <w:bookmarkStart w:id="1" w:name="_GoBack"/>
      <w:bookmarkEnd w:id="1"/>
      <w:r>
        <w:rPr>
          <w:rFonts w:hint="eastAsia" w:ascii="宋体" w:hAnsi="宋体" w:cs="宋体"/>
          <w:sz w:val="24"/>
        </w:rPr>
        <w:t>一、项目概况</w:t>
      </w:r>
    </w:p>
    <w:p>
      <w:pPr>
        <w:spacing w:after="156" w:afterLines="50" w:line="360" w:lineRule="auto"/>
        <w:ind w:firstLine="480" w:firstLineChars="200"/>
        <w:rPr>
          <w:rFonts w:ascii="宋体" w:hAnsi="宋体" w:cs="宋体"/>
          <w:sz w:val="24"/>
        </w:rPr>
      </w:pPr>
      <w:r>
        <w:rPr>
          <w:rFonts w:hint="eastAsia" w:ascii="宋体" w:hAnsi="宋体" w:cs="宋体"/>
          <w:sz w:val="24"/>
        </w:rPr>
        <w:t>为重点帮助就业困难对象实现再就业，上海市人民政府于2003年正式启动“万人就业”项目，通过政府开发劳动密集型岗位，由非正规劳动组织吸纳和安置以4050人员为主体的就业困难群体，以不低于本市最低工资标准保障从业人员收入，缓解其就业矛盾。2013年，为进一步保障从业人员劳动权益，上海市开始部署非正规劳动组织向民办非企业单位、企业法人等用人单位的转制工作。青浦区于2018年完成公益性劳动组织转制，转制后香花桥街道共有助老助残、就业援助和劳动监察、林业养护、河道保洁、保安大队、大联勤、综合协管以及零星队伍8支队伍，截至2020年底共769人。</w:t>
      </w:r>
    </w:p>
    <w:p>
      <w:pPr>
        <w:spacing w:after="156" w:afterLines="50" w:line="360" w:lineRule="auto"/>
        <w:ind w:firstLine="480" w:firstLineChars="200"/>
        <w:rPr>
          <w:rFonts w:ascii="宋体" w:hAnsi="宋体" w:cs="宋体"/>
          <w:sz w:val="24"/>
        </w:rPr>
      </w:pPr>
      <w:r>
        <w:rPr>
          <w:rFonts w:hint="eastAsia" w:ascii="宋体" w:hAnsi="宋体" w:cs="宋体"/>
          <w:sz w:val="24"/>
        </w:rPr>
        <w:t>2021年，香花桥街道继续实施“万人就业项目”，预算单位包括青浦区香花桥街道社区事务受理服务中心、社区发展服务中心和城市运行管理中心3家。项目主要内容为支付人员工资薪酬并保障各队伍日常运行。年初预算安排5511.54万元，年中调整为5318.31万元，实际支出5285.49万元，预算执行率为99.38%，资金来源为区级财政一般公共预算。</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二、评价工作开展情况</w:t>
      </w:r>
    </w:p>
    <w:p>
      <w:pPr>
        <w:spacing w:after="156" w:afterLines="50" w:line="360" w:lineRule="auto"/>
        <w:ind w:firstLine="480" w:firstLineChars="200"/>
        <w:rPr>
          <w:rFonts w:ascii="宋体" w:hAnsi="宋体" w:cs="宋体"/>
          <w:sz w:val="24"/>
        </w:rPr>
      </w:pPr>
      <w:r>
        <w:rPr>
          <w:rFonts w:hint="eastAsia" w:ascii="宋体" w:hAnsi="宋体" w:cs="宋体"/>
          <w:sz w:val="24"/>
        </w:rPr>
        <w:t>本次绩效评价时段为2021年1月1日至2021年12月31日。2022年2月中旬绩效评价工作正式启动，6月初工作方案经过专家评审后开展评价工作，评价组重点关注项目单位是否严格落实人员锁定机制和薪酬增长机制、补贴发放和队伍工作是否完成、效益是否达到预期等，通过发放基础表、问卷、访谈以及实地走访等方式收集数据，依据绩效指标评分标准开展量化评价，对项目的主要成效和经验进行总结，针对存在的问题与不足提出改进建议，形成绩效评价报告，为进一步优化项目管理、预算管理等提供建议。</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三、评价结论和主要绩效</w:t>
      </w:r>
    </w:p>
    <w:p>
      <w:pPr>
        <w:spacing w:after="156" w:afterLines="50" w:line="360" w:lineRule="auto"/>
        <w:ind w:firstLine="480" w:firstLineChars="200"/>
        <w:rPr>
          <w:rFonts w:ascii="宋体" w:hAnsi="宋体" w:cs="宋体"/>
          <w:sz w:val="24"/>
        </w:rPr>
      </w:pPr>
      <w:r>
        <w:rPr>
          <w:rFonts w:hint="eastAsia" w:ascii="宋体" w:hAnsi="宋体" w:cs="宋体"/>
          <w:sz w:val="24"/>
        </w:rPr>
        <w:t>运用评价组设计并经专家组论证的绩效评价指标体系及评分标准，项目绩效评价得分为84.54分，评价等级为“良”。决策指标满分20分，得16.50分，得分率82.50%；过程指标满分20分，得15分，得分率75%；产出指标满分30分，得23.38分，得分率77.93%；效益指标满分30分，得29.66分，得分率98.87%。</w:t>
      </w:r>
    </w:p>
    <w:p>
      <w:pPr>
        <w:spacing w:after="156" w:afterLines="50" w:line="360" w:lineRule="auto"/>
        <w:ind w:firstLine="480" w:firstLineChars="200"/>
        <w:rPr>
          <w:rFonts w:ascii="宋体" w:hAnsi="宋体" w:cs="宋体"/>
          <w:sz w:val="24"/>
        </w:rPr>
      </w:pPr>
      <w:r>
        <w:rPr>
          <w:rFonts w:hint="eastAsia" w:ascii="宋体" w:hAnsi="宋体" w:cs="宋体"/>
          <w:sz w:val="24"/>
        </w:rPr>
        <w:t>2021年万人就业项目总体实施情况较好，按月向就业人员发放补贴5010.54万元，就业队伍基本按照年初计划完成相关工作，如为辖区1800多名残疾人和153名老人提供各类助残、居家照护服务，服务对象覆盖率达100%；通过开展专场招聘面试会和就业创业讲座，帮助成功创业44人，创业见习和职业见习89人；完成了辖区732.77亩林地的日常养护和14条河道的保洁工作；协助公安机关开展交通大整治行动40余次、设卡盘查10余次、破获各类案件86起，当年度未发生较大影响的社会安全事件。通过项目实施，满足了香花桥街道社会管理工作需要，也保障了从业人员的基本生活，社区居民和从业人员的满意度均达到90%以上。</w:t>
      </w:r>
    </w:p>
    <w:p>
      <w:pPr>
        <w:spacing w:after="156" w:afterLines="50" w:line="360" w:lineRule="auto"/>
        <w:ind w:firstLine="480" w:firstLineChars="200"/>
        <w:rPr>
          <w:rFonts w:ascii="宋体" w:hAnsi="宋体" w:cs="宋体"/>
          <w:sz w:val="24"/>
        </w:rPr>
      </w:pPr>
      <w:r>
        <w:rPr>
          <w:rFonts w:hint="eastAsia" w:ascii="宋体" w:hAnsi="宋体" w:cs="宋体"/>
          <w:sz w:val="24"/>
        </w:rPr>
        <w:t>但还存在以下不足：一是预算安排归口单位与业务管理职责科室错位；二是绩效目标及指标设置不够合理；三是部分预算编制科学性不足；四是增补人员未按政策规定上报区政府批准；五是个别队伍实际考核不到位；六是六支队伍中部分人员未严格按照新的财政岗位补贴基数发放人员工资。</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四、主要经验、问题和建议</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（一）主要经验及做法</w:t>
      </w:r>
    </w:p>
    <w:p>
      <w:pPr>
        <w:spacing w:after="156" w:afterLines="50" w:line="360" w:lineRule="auto"/>
        <w:ind w:firstLine="480" w:firstLineChars="200"/>
        <w:rPr>
          <w:rFonts w:ascii="宋体" w:hAnsi="宋体" w:cs="宋体"/>
          <w:sz w:val="24"/>
        </w:rPr>
      </w:pPr>
      <w:r>
        <w:rPr>
          <w:rFonts w:hint="eastAsia" w:ascii="宋体" w:hAnsi="宋体" w:cs="宋体"/>
          <w:sz w:val="24"/>
        </w:rPr>
        <w:t>保障万人就业队伍日常运行，推动提高香花桥街道公共服务供给能力。香花桥街道通过实施万人就业项目，对就业人员工资薪酬和队伍日常运行经费进行保障，万人就业队伍通过开展助老助残服务、就业援助、林业养护、社会治安管理、社会治安巡逻、市容管理等为辖区内社会管理和服务对象提供保障，部分队伍在万人就业项目开展过程中的实施成效较为显著，如社区保安大队队伍在项目单位的指导下，建立了万人就业人员的培养机制，有针对性地开展业务锻炼，提升了队员的服务能力和水平，2021年共向村居等基层单位输出人才5名。</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（二）存在问题</w:t>
      </w:r>
    </w:p>
    <w:p>
      <w:pPr>
        <w:spacing w:after="156" w:afterLines="50" w:line="360" w:lineRule="auto"/>
        <w:ind w:firstLine="480" w:firstLineChars="200"/>
        <w:rPr>
          <w:rFonts w:ascii="宋体" w:hAnsi="宋体" w:cs="宋体"/>
          <w:sz w:val="24"/>
        </w:rPr>
      </w:pPr>
      <w:bookmarkStart w:id="0" w:name="_Hlk108537674"/>
      <w:r>
        <w:rPr>
          <w:rFonts w:hint="eastAsia" w:ascii="宋体" w:hAnsi="宋体" w:cs="宋体"/>
          <w:sz w:val="24"/>
        </w:rPr>
        <w:t>1.预算编制的准确性和合理性有待提升。一是各队伍人员工资薪酬未明确预算构成，未根据岗位工资、职务工资、绩效工资等各项薪酬明确具体的测算过程。二是“助老助残工会经费”预算安排依据不足，该队伍未成立工会，年初仍安排5.18万元预算，已于年中全部调减。三是日常工作管理经费400元/人的单价标准依据不足，实际有四支队伍预算执行率低于85%，其中助老助残队伍为0%，主要原因为经费使用范围不明确，队伍反映不会用、不敢用。四是“人员体检费”单价、数量测算未按性别细化，编制预算时取男性1200元/人/年和女性1400元/人/年的平均价1300元/人/年作为单价，数量按照各队伍总人数确定，实际男性队员数远高于女性，2021年零星队伍体检费预算执行率仅为61.54%。</w:t>
      </w:r>
    </w:p>
    <w:p>
      <w:pPr>
        <w:spacing w:after="156" w:afterLines="50" w:line="360" w:lineRule="auto"/>
        <w:ind w:firstLine="480" w:firstLineChars="200"/>
        <w:rPr>
          <w:rFonts w:ascii="宋体" w:hAnsi="宋体" w:cs="宋体"/>
          <w:sz w:val="24"/>
        </w:rPr>
      </w:pPr>
      <w:r>
        <w:rPr>
          <w:rFonts w:hint="eastAsia" w:ascii="宋体" w:hAnsi="宋体" w:cs="宋体"/>
          <w:sz w:val="24"/>
        </w:rPr>
        <w:t>2.六支队伍中部分人员未严格执行新的财政岗位补贴基数。2021年7月1日起，上海市企业职工月最低工资标准在2020年的基础上提高110元至2590元。按照“新的财政岗位补贴基数为在原基数上增加月最低工资标准调整增量部分的108%”要求应增加118元，但助老助残、就业援助和劳动监察、保安大队、大联勤、综合协管大队、零星队伍六支队伍中有111人未严格执行新的财政岗位补贴基数标准。</w:t>
      </w:r>
    </w:p>
    <w:p>
      <w:pPr>
        <w:spacing w:after="156" w:afterLines="50" w:line="360" w:lineRule="auto"/>
        <w:ind w:firstLine="480" w:firstLineChars="200"/>
        <w:rPr>
          <w:rFonts w:ascii="宋体" w:hAnsi="宋体" w:cs="宋体"/>
          <w:sz w:val="24"/>
        </w:rPr>
      </w:pPr>
      <w:r>
        <w:rPr>
          <w:rFonts w:hint="eastAsia" w:ascii="宋体" w:hAnsi="宋体" w:cs="宋体"/>
          <w:sz w:val="24"/>
        </w:rPr>
        <w:t>3.增补人员流程未严格执行相关通知要求。按照“锁定从业人员数量”规定，享受补贴资金的人员“原则上以2020年末实际从业人员为限，只出不进，确需增补的应报区政府批准”。2020年底万人就业人员总数为769人，2021年48人因退休、离职等原因退出，即2021年年底应补贴721人，实际为747人，超出的26人为街道根据以前年度招聘机制，在不超过各队伍2020年末实际从业人数的情况下聘用的人员，增补人员聘用流程未严格执行相关通知要求。</w:t>
      </w:r>
    </w:p>
    <w:p>
      <w:pPr>
        <w:spacing w:after="156" w:afterLines="50" w:line="360" w:lineRule="auto"/>
        <w:ind w:firstLine="480" w:firstLineChars="200"/>
        <w:rPr>
          <w:rFonts w:ascii="宋体" w:hAnsi="宋体" w:cs="宋体"/>
          <w:sz w:val="24"/>
        </w:rPr>
      </w:pPr>
      <w:r>
        <w:rPr>
          <w:rFonts w:hint="eastAsia" w:ascii="宋体" w:hAnsi="宋体" w:cs="宋体"/>
          <w:sz w:val="24"/>
        </w:rPr>
        <w:t>4.项目预算安排归口单位与业务管理职责科室错位。项目实施过程中，社区事务受理服务中心、社区发展服务中心和城市运行管理中心3家预算单位对于各队伍日常工作开展不进行直接指导和监督，由街道各业务科室和下属事业单位负责业务管理，项目业务管理和资金管理存在错位。此外，3支公共服务类队伍未按照沪府办发〔2013〕13号文中“将公共服务类从业人员收入与绩效考核相挂钩”的规定实施考核。</w:t>
      </w:r>
    </w:p>
    <w:p>
      <w:pPr>
        <w:spacing w:after="156" w:afterLines="50" w:line="360" w:lineRule="auto"/>
        <w:ind w:firstLine="480" w:firstLineChars="200"/>
        <w:rPr>
          <w:rFonts w:ascii="宋体" w:hAnsi="宋体" w:cs="宋体"/>
          <w:sz w:val="24"/>
        </w:rPr>
      </w:pPr>
      <w:r>
        <w:rPr>
          <w:rFonts w:hint="eastAsia" w:ascii="宋体" w:hAnsi="宋体" w:cs="宋体"/>
          <w:sz w:val="24"/>
        </w:rPr>
        <w:t>5.绩效管理工作有待加强。3家预算单位填报绩效目标申报表时，未能充分理解绩效目标编制的内涵与编制方法，存在绩效目标缺失、绩效指标逻辑性不足、指标归类错误、指标内容未细化量化、部分项目绩效目标与实际实施内容的关联度不高的情况，且申请预算调整时并未同步调整项目绩效目标，绩效评价业务水平有待提升。</w:t>
      </w:r>
    </w:p>
    <w:p>
      <w:pPr>
        <w:spacing w:after="156" w:afterLines="50" w:line="360" w:lineRule="auto"/>
        <w:ind w:firstLine="480" w:firstLineChars="200"/>
        <w:outlineLvl w:val="1"/>
        <w:rPr>
          <w:rFonts w:ascii="宋体" w:hAnsi="宋体" w:cs="宋体"/>
          <w:sz w:val="24"/>
        </w:rPr>
      </w:pPr>
      <w:r>
        <w:rPr>
          <w:rFonts w:hint="eastAsia" w:ascii="宋体" w:hAnsi="宋体" w:cs="宋体"/>
          <w:sz w:val="24"/>
        </w:rPr>
        <w:t>（三）建议和改进举措</w:t>
      </w:r>
    </w:p>
    <w:p>
      <w:pPr>
        <w:spacing w:after="156" w:afterLines="50" w:line="360" w:lineRule="auto"/>
        <w:ind w:firstLine="480" w:firstLineChars="200"/>
        <w:rPr>
          <w:rFonts w:ascii="宋体" w:hAnsi="宋体" w:cs="宋体"/>
          <w:sz w:val="24"/>
        </w:rPr>
      </w:pPr>
      <w:r>
        <w:rPr>
          <w:rFonts w:hint="eastAsia" w:ascii="宋体" w:hAnsi="宋体" w:cs="宋体"/>
          <w:sz w:val="24"/>
        </w:rPr>
        <w:t>1.按实测算和细化资金需求，提高补贴资金使用效益。建议香花桥街道按岗位工资、绩效工资等细化“人员薪酬”预算构成，取消“助老助残工会经费”，按历史支出情况和实际需求测算“日常工作管理经费”，根据性别和人数精确测算“人员体检费”。</w:t>
      </w:r>
    </w:p>
    <w:p>
      <w:pPr>
        <w:spacing w:after="156" w:afterLines="50" w:line="360" w:lineRule="auto"/>
        <w:ind w:firstLine="480" w:firstLineChars="200"/>
        <w:rPr>
          <w:rFonts w:ascii="宋体" w:hAnsi="宋体" w:cs="宋体"/>
          <w:sz w:val="24"/>
        </w:rPr>
      </w:pPr>
      <w:r>
        <w:rPr>
          <w:rFonts w:hint="eastAsia" w:ascii="宋体" w:hAnsi="宋体" w:cs="宋体"/>
          <w:sz w:val="24"/>
        </w:rPr>
        <w:t>2.严格执行岗位补贴基数标准，规范财政资金使用。建议香花桥街道按照“建立收入增长机制”的要求确定各队伍岗位补贴基数，并严格按照标准发放人员工资。对于按照实际工作量发放补贴从而导致与标准不一致的情况，建议明确具体原因并上报区财政审批同意后再行发放。</w:t>
      </w:r>
    </w:p>
    <w:p>
      <w:pPr>
        <w:spacing w:after="156" w:afterLines="50" w:line="360" w:lineRule="auto"/>
        <w:ind w:firstLine="480" w:firstLineChars="200"/>
        <w:rPr>
          <w:rFonts w:ascii="宋体" w:hAnsi="宋体" w:cs="宋体"/>
          <w:sz w:val="24"/>
        </w:rPr>
      </w:pPr>
      <w:r>
        <w:rPr>
          <w:rFonts w:hint="eastAsia" w:ascii="宋体" w:hAnsi="宋体" w:cs="宋体"/>
          <w:sz w:val="24"/>
        </w:rPr>
        <w:t>3.明确人员准入机制，规范增补人员流程。考虑到保安大队等队伍工作的重要性及增补机制的高效性，建议香花桥街道专题向区政府提出申请，经审批同意后，在不超过2020年末锁定人员数量额度内，根据各队伍实际工作需要，明确年度增补计划，严格执行人员进出、薪资待遇标准等规定。</w:t>
      </w:r>
    </w:p>
    <w:p>
      <w:pPr>
        <w:spacing w:after="156" w:afterLines="50" w:line="360" w:lineRule="auto"/>
        <w:ind w:firstLine="480" w:firstLineChars="200"/>
        <w:rPr>
          <w:rFonts w:ascii="宋体" w:hAnsi="宋体" w:cs="宋体"/>
          <w:sz w:val="24"/>
        </w:rPr>
      </w:pPr>
      <w:r>
        <w:rPr>
          <w:rFonts w:hint="eastAsia" w:ascii="宋体" w:hAnsi="宋体" w:cs="宋体"/>
          <w:sz w:val="24"/>
        </w:rPr>
        <w:t>4.考虑将预算归口单位调整为街道本级，实现业务流和资金流相统一。首先，建议香花桥街道办事处联合相关部门考虑调整项目名称为“香花桥街道公益性岗位补贴”并将预算归口单位调整为街道本级的可行性。在此前提下，再将8支队伍划分至街道相关职能处室进行管理，并明确归口管理部门职责。其次，建议各队伍对于人员工作成效、出勤等实施考核并将考核结果与工资薪酬挂钩，提高人员工作积极性。</w:t>
      </w:r>
      <w:bookmarkEnd w:id="0"/>
    </w:p>
    <w:p>
      <w:pPr>
        <w:spacing w:after="156" w:afterLines="50" w:line="360" w:lineRule="auto"/>
        <w:ind w:firstLine="480" w:firstLineChars="200"/>
        <w:rPr>
          <w:rFonts w:ascii="宋体" w:hAnsi="宋体" w:cs="宋体"/>
          <w:sz w:val="24"/>
        </w:rPr>
      </w:pPr>
      <w:r>
        <w:rPr>
          <w:rFonts w:hint="eastAsia" w:ascii="宋体" w:hAnsi="宋体" w:cs="宋体"/>
          <w:sz w:val="24"/>
        </w:rPr>
        <w:t>5.提高预算绩效管理工作质量，夯实预算绩效管理审核责任。绩效目标编制方面，建议加大预算绩效管理业务培训力度，进一步提高绩效目标编制质量，同时加强对绩效管理工作的审核力度，对填报质量不高的材料提出优化建议并落实整改。绩效跟踪方面，对出现偏差的项目，建议及时提出针对性的纠偏措施和改进建议，确保项目按计划及时完成并达到预期目标。绩效自评价方面，建议进一步健全评价结果应用机制，强化绩效结果应用，落实问题整改机制。</w:t>
      </w:r>
    </w:p>
    <w:p>
      <w:pPr>
        <w:spacing w:after="156" w:afterLines="50" w:line="360" w:lineRule="auto"/>
        <w:ind w:firstLine="480" w:firstLineChars="200"/>
        <w:outlineLvl w:val="0"/>
        <w:rPr>
          <w:rFonts w:ascii="宋体" w:hAnsi="宋体" w:cs="宋体"/>
          <w:sz w:val="24"/>
        </w:rPr>
      </w:pPr>
      <w:r>
        <w:rPr>
          <w:rFonts w:hint="eastAsia" w:ascii="宋体" w:hAnsi="宋体" w:cs="宋体"/>
          <w:sz w:val="24"/>
        </w:rPr>
        <w:t>五、结果应用情况</w:t>
      </w:r>
    </w:p>
    <w:p>
      <w:pPr>
        <w:spacing w:after="156" w:afterLines="50" w:line="360" w:lineRule="auto"/>
        <w:ind w:firstLine="480" w:firstLineChars="200"/>
        <w:rPr>
          <w:rFonts w:ascii="宋体" w:hAnsi="宋体" w:cs="宋体"/>
          <w:sz w:val="24"/>
        </w:rPr>
      </w:pPr>
      <w:r>
        <w:rPr>
          <w:rFonts w:hint="eastAsia" w:ascii="宋体" w:hAnsi="宋体" w:cs="宋体"/>
          <w:sz w:val="24"/>
        </w:rPr>
        <w:t>（一）</w:t>
      </w:r>
      <w:r>
        <w:rPr>
          <w:rFonts w:hint="eastAsia"/>
          <w:sz w:val="24"/>
        </w:rPr>
        <w:t>预算编制与实际需求相契合，提高编制预算精准度。明确各支队伍所需支出的费用类别的基础上按照各队伍实际资金需求细化预算构成，制定定额标准，明确日常工作管理经费使用范围，提高预算编制合理性，提升预算执行率。</w:t>
      </w:r>
      <w:r>
        <w:rPr>
          <w:rFonts w:hint="eastAsia" w:ascii="宋体" w:hAnsi="宋体" w:cs="宋体"/>
          <w:sz w:val="24"/>
        </w:rPr>
        <w:t>在调整2022年预算和编制2023年及以后年度预算过程中，更加细化并按照实际需求测算各项支出，例如：取消“助老助残工会经费”，按照各队伍男、女数量测算体检费，在不超过区财政局审核的限额内按照实际需求安排“日常工作管理经费”等。</w:t>
      </w:r>
    </w:p>
    <w:p>
      <w:pPr>
        <w:spacing w:after="156" w:afterLines="50" w:line="360" w:lineRule="auto"/>
        <w:ind w:firstLine="480" w:firstLineChars="200"/>
        <w:rPr>
          <w:rFonts w:ascii="宋体" w:hAnsi="宋体" w:cs="宋体"/>
          <w:sz w:val="24"/>
        </w:rPr>
      </w:pPr>
      <w:r>
        <w:rPr>
          <w:rFonts w:hint="eastAsia" w:ascii="宋体" w:hAnsi="宋体" w:cs="宋体"/>
          <w:sz w:val="24"/>
        </w:rPr>
        <w:t>（二）</w:t>
      </w:r>
      <w:r>
        <w:rPr>
          <w:rFonts w:hint="eastAsia"/>
          <w:sz w:val="24"/>
        </w:rPr>
        <w:t>严格按照岗位补贴标准发放人员工资，规范财政资金使用。按照 “建立收入增长机制”的要求确定各队伍人员岗位基数后发放就业人员工资，严格工资发放标准执行准确度。根据政策文件规定的万人就业队伍分类明确8支队伍的类型，将公共服务类队伍以外的队伍全部纳入其他类型的队伍中并按照对应标准发放岗位补贴，</w:t>
      </w:r>
      <w:r>
        <w:rPr>
          <w:rFonts w:hint="eastAsia" w:ascii="宋体" w:hAnsi="宋体" w:cs="宋体"/>
          <w:sz w:val="24"/>
        </w:rPr>
        <w:t>调整队伍工资结构，使得岗位补贴基数不高于相关文件规定标准,</w:t>
      </w:r>
      <w:r>
        <w:rPr>
          <w:rFonts w:hint="eastAsia"/>
          <w:sz w:val="24"/>
        </w:rPr>
        <w:t>规范财政资金使用。</w:t>
      </w:r>
    </w:p>
    <w:p>
      <w:pPr>
        <w:spacing w:after="156" w:afterLines="50" w:line="360" w:lineRule="auto"/>
        <w:ind w:firstLine="480" w:firstLineChars="200"/>
        <w:rPr>
          <w:rFonts w:ascii="宋体" w:hAnsi="宋体" w:cs="宋体"/>
          <w:sz w:val="24"/>
        </w:rPr>
      </w:pPr>
      <w:r>
        <w:rPr>
          <w:rFonts w:hint="eastAsia" w:ascii="宋体" w:hAnsi="宋体" w:cs="宋体"/>
          <w:sz w:val="24"/>
        </w:rPr>
        <w:t>（三）明确人员进入机制，增补人员上报区政府批准后再行招聘。严格执行“锁定从业人员数量”的规定，对于确需后续增补相关岗位人员的，报区政府批准后通过政府购买服务的方式进行增补，严格人员进入机制，确保政策严肃性。香花桥街道已向区政府申请关于招录非编财供人员的事宜（青香街〔2022〕32号《香花桥街道关于招录非编财供人员的请示》），确保以后年度增补人员流程严格执行相关规定。</w:t>
      </w:r>
    </w:p>
    <w:p>
      <w:pPr>
        <w:spacing w:after="156" w:afterLines="50" w:line="360" w:lineRule="auto"/>
        <w:ind w:firstLine="480" w:firstLineChars="200"/>
        <w:rPr>
          <w:rFonts w:ascii="宋体" w:hAnsi="宋体" w:cs="宋体"/>
          <w:sz w:val="24"/>
        </w:rPr>
      </w:pPr>
      <w:r>
        <w:rPr>
          <w:rFonts w:hint="eastAsia" w:ascii="宋体" w:hAnsi="宋体" w:cs="宋体"/>
          <w:sz w:val="24"/>
        </w:rPr>
        <w:t>（四）根据各队伍的工作性质，相关项目仍旧安排在原预算单位，并从2023年起更名为“公益性岗位从业队伍专项经费”。</w:t>
      </w:r>
    </w:p>
    <w:p>
      <w:pPr>
        <w:spacing w:after="156" w:afterLines="50" w:line="360" w:lineRule="auto"/>
        <w:ind w:firstLine="480" w:firstLineChars="200"/>
        <w:rPr>
          <w:sz w:val="24"/>
        </w:rPr>
      </w:pPr>
      <w:r>
        <w:rPr>
          <w:rFonts w:hint="eastAsia" w:ascii="宋体" w:hAnsi="宋体" w:cs="宋体"/>
          <w:sz w:val="24"/>
        </w:rPr>
        <w:t>（五）提升预算绩效管理工作质量，夯实预算绩效管理审核责任。加大预算绩效管理业务培训力度，进一步提高绩效目标编制质量，加强对绩效目标编制工作的审核力度；强化绩效结果应用，落实问题整改机制。香花桥街道将对绩效管理工作的审核力度，对填报质量不高的材料提出优化建议并落实整改。对出现偏差的项目，及时提出针对性的纠偏措施和改进建议。进一步健全评价结果应用机制，强化绩效结果应用，落实问题整改机制。</w:t>
      </w:r>
    </w:p>
    <w:p>
      <w:pPr>
        <w:pStyle w:val="2"/>
        <w:spacing w:after="156" w:afterLines="50" w:line="360" w:lineRule="auto"/>
        <w:ind w:firstLine="480"/>
        <w:rPr>
          <w:sz w:val="24"/>
        </w:rPr>
      </w:pPr>
    </w:p>
    <w:p>
      <w:pPr>
        <w:pStyle w:val="2"/>
        <w:spacing w:after="156" w:afterLines="50" w:line="360" w:lineRule="auto"/>
        <w:ind w:firstLine="480"/>
        <w:rPr>
          <w:sz w:val="24"/>
        </w:rPr>
      </w:pPr>
    </w:p>
    <w:p>
      <w:pPr>
        <w:spacing w:after="156" w:afterLines="50" w:line="360" w:lineRule="auto"/>
        <w:ind w:firstLine="480" w:firstLineChars="200"/>
        <w:rPr>
          <w:rFonts w:ascii="宋体" w:hAnsi="宋体" w:cs="宋体"/>
          <w:sz w:val="24"/>
        </w:rPr>
      </w:pPr>
    </w:p>
    <w:p>
      <w:pPr>
        <w:spacing w:after="156" w:afterLines="50" w:line="360" w:lineRule="auto"/>
        <w:ind w:firstLine="480" w:firstLineChars="200"/>
        <w:rPr>
          <w:rFonts w:ascii="宋体" w:hAnsi="宋体" w:cs="宋体"/>
          <w:sz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MwMmM1ODlkMDIwZmY4NWY2MTk1Yjk5ZDlhZDAwNTkifQ=="/>
    <w:docVar w:name="KSO_WPS_MARK_KEY" w:val="151055da-8b1f-475a-a9ea-d75ddb89606d"/>
  </w:docVars>
  <w:rsids>
    <w:rsidRoot w:val="00CA335F"/>
    <w:rsid w:val="00016D20"/>
    <w:rsid w:val="000253A3"/>
    <w:rsid w:val="000369C4"/>
    <w:rsid w:val="001035D5"/>
    <w:rsid w:val="0015366E"/>
    <w:rsid w:val="00196661"/>
    <w:rsid w:val="001A316E"/>
    <w:rsid w:val="001F134B"/>
    <w:rsid w:val="001F3274"/>
    <w:rsid w:val="00206EAD"/>
    <w:rsid w:val="00244733"/>
    <w:rsid w:val="00287D95"/>
    <w:rsid w:val="00296332"/>
    <w:rsid w:val="0035001E"/>
    <w:rsid w:val="003C5F38"/>
    <w:rsid w:val="003D201F"/>
    <w:rsid w:val="00494928"/>
    <w:rsid w:val="004B7052"/>
    <w:rsid w:val="004C490A"/>
    <w:rsid w:val="004C6EDE"/>
    <w:rsid w:val="004E7034"/>
    <w:rsid w:val="005926F0"/>
    <w:rsid w:val="005E02EE"/>
    <w:rsid w:val="00643C34"/>
    <w:rsid w:val="006B0006"/>
    <w:rsid w:val="00783803"/>
    <w:rsid w:val="008B4A42"/>
    <w:rsid w:val="008E3082"/>
    <w:rsid w:val="009601CC"/>
    <w:rsid w:val="00994053"/>
    <w:rsid w:val="00B00D8C"/>
    <w:rsid w:val="00B26BAC"/>
    <w:rsid w:val="00BA1970"/>
    <w:rsid w:val="00BA5233"/>
    <w:rsid w:val="00C0632D"/>
    <w:rsid w:val="00C12F91"/>
    <w:rsid w:val="00C24FB0"/>
    <w:rsid w:val="00C765A0"/>
    <w:rsid w:val="00C86878"/>
    <w:rsid w:val="00CA335F"/>
    <w:rsid w:val="00D24DEF"/>
    <w:rsid w:val="00D62873"/>
    <w:rsid w:val="00E17FC2"/>
    <w:rsid w:val="00E52FCC"/>
    <w:rsid w:val="00E93104"/>
    <w:rsid w:val="00EB4749"/>
    <w:rsid w:val="00F262F1"/>
    <w:rsid w:val="00FA1ECA"/>
    <w:rsid w:val="00FA26B7"/>
    <w:rsid w:val="00FC529B"/>
    <w:rsid w:val="00FD2DEA"/>
    <w:rsid w:val="00FE33CA"/>
    <w:rsid w:val="023C3AEF"/>
    <w:rsid w:val="024A1954"/>
    <w:rsid w:val="030447ED"/>
    <w:rsid w:val="04820B6B"/>
    <w:rsid w:val="04E15927"/>
    <w:rsid w:val="06BD4DB6"/>
    <w:rsid w:val="074C24FB"/>
    <w:rsid w:val="07B73235"/>
    <w:rsid w:val="094B59F1"/>
    <w:rsid w:val="0B4E6285"/>
    <w:rsid w:val="0C903519"/>
    <w:rsid w:val="0CDB70BD"/>
    <w:rsid w:val="0DC57B70"/>
    <w:rsid w:val="0F851366"/>
    <w:rsid w:val="10263C32"/>
    <w:rsid w:val="10727708"/>
    <w:rsid w:val="133D4D21"/>
    <w:rsid w:val="14345FF8"/>
    <w:rsid w:val="147D3BF2"/>
    <w:rsid w:val="14D96FB7"/>
    <w:rsid w:val="16071450"/>
    <w:rsid w:val="16495944"/>
    <w:rsid w:val="1AEB0E85"/>
    <w:rsid w:val="1B330E20"/>
    <w:rsid w:val="1B485E18"/>
    <w:rsid w:val="1C3C5B34"/>
    <w:rsid w:val="1CF56A43"/>
    <w:rsid w:val="1DC52513"/>
    <w:rsid w:val="1E986FB8"/>
    <w:rsid w:val="207922E0"/>
    <w:rsid w:val="21E9C3D3"/>
    <w:rsid w:val="2299472A"/>
    <w:rsid w:val="231950D4"/>
    <w:rsid w:val="23A03E43"/>
    <w:rsid w:val="264704D9"/>
    <w:rsid w:val="26F2235E"/>
    <w:rsid w:val="27E64BE6"/>
    <w:rsid w:val="2818508B"/>
    <w:rsid w:val="29DA3081"/>
    <w:rsid w:val="29EE2862"/>
    <w:rsid w:val="2C07559C"/>
    <w:rsid w:val="2C1B2732"/>
    <w:rsid w:val="2EE235DE"/>
    <w:rsid w:val="30654C8A"/>
    <w:rsid w:val="31B12944"/>
    <w:rsid w:val="32B8220B"/>
    <w:rsid w:val="33971C3B"/>
    <w:rsid w:val="35103D2E"/>
    <w:rsid w:val="36687A6B"/>
    <w:rsid w:val="379545E5"/>
    <w:rsid w:val="387F1D3E"/>
    <w:rsid w:val="391231B2"/>
    <w:rsid w:val="39D7006D"/>
    <w:rsid w:val="3A296FA2"/>
    <w:rsid w:val="3A912CDA"/>
    <w:rsid w:val="3C1428A8"/>
    <w:rsid w:val="3DC0A03E"/>
    <w:rsid w:val="3DEDAD27"/>
    <w:rsid w:val="3E533D94"/>
    <w:rsid w:val="3FB7546E"/>
    <w:rsid w:val="3FBE49AE"/>
    <w:rsid w:val="3FFBC761"/>
    <w:rsid w:val="3FFF51A5"/>
    <w:rsid w:val="41750096"/>
    <w:rsid w:val="43461473"/>
    <w:rsid w:val="44BA15F0"/>
    <w:rsid w:val="452E61C6"/>
    <w:rsid w:val="46D84A50"/>
    <w:rsid w:val="47EB3C87"/>
    <w:rsid w:val="48C758A8"/>
    <w:rsid w:val="49972828"/>
    <w:rsid w:val="49C302E1"/>
    <w:rsid w:val="4A0830A1"/>
    <w:rsid w:val="4A3E0836"/>
    <w:rsid w:val="4A6A32B9"/>
    <w:rsid w:val="4A97446B"/>
    <w:rsid w:val="4E0D3D89"/>
    <w:rsid w:val="4E1D385E"/>
    <w:rsid w:val="4FC2346C"/>
    <w:rsid w:val="51CB72CF"/>
    <w:rsid w:val="52E47847"/>
    <w:rsid w:val="535B396C"/>
    <w:rsid w:val="536117A2"/>
    <w:rsid w:val="53F57818"/>
    <w:rsid w:val="554144F3"/>
    <w:rsid w:val="55C71A0D"/>
    <w:rsid w:val="5776668B"/>
    <w:rsid w:val="57BF6FA7"/>
    <w:rsid w:val="590774E1"/>
    <w:rsid w:val="5A8A47E2"/>
    <w:rsid w:val="5BB40818"/>
    <w:rsid w:val="5BEF8118"/>
    <w:rsid w:val="5D1A7927"/>
    <w:rsid w:val="5DBC5FC7"/>
    <w:rsid w:val="5DD7161C"/>
    <w:rsid w:val="5DF41CE8"/>
    <w:rsid w:val="5E700196"/>
    <w:rsid w:val="5E79448F"/>
    <w:rsid w:val="5ECD2B8A"/>
    <w:rsid w:val="5FC6176D"/>
    <w:rsid w:val="5FCD1C87"/>
    <w:rsid w:val="61E64DC7"/>
    <w:rsid w:val="61F56213"/>
    <w:rsid w:val="6257032D"/>
    <w:rsid w:val="63CA4E46"/>
    <w:rsid w:val="63FE04BF"/>
    <w:rsid w:val="6412040D"/>
    <w:rsid w:val="653C01C1"/>
    <w:rsid w:val="65EF0136"/>
    <w:rsid w:val="673570C4"/>
    <w:rsid w:val="684F79F4"/>
    <w:rsid w:val="685D4F7A"/>
    <w:rsid w:val="6B2A5D07"/>
    <w:rsid w:val="6C9C9D81"/>
    <w:rsid w:val="6CCF0F7D"/>
    <w:rsid w:val="6D2771AA"/>
    <w:rsid w:val="6EC077EB"/>
    <w:rsid w:val="72F74583"/>
    <w:rsid w:val="737317C0"/>
    <w:rsid w:val="73C231FD"/>
    <w:rsid w:val="73D828AA"/>
    <w:rsid w:val="73E75AD5"/>
    <w:rsid w:val="73FD186E"/>
    <w:rsid w:val="74BF5B7E"/>
    <w:rsid w:val="751320B2"/>
    <w:rsid w:val="76CA18D7"/>
    <w:rsid w:val="776D9587"/>
    <w:rsid w:val="777E0BEC"/>
    <w:rsid w:val="78A91184"/>
    <w:rsid w:val="790723ED"/>
    <w:rsid w:val="79985EF1"/>
    <w:rsid w:val="7B2C4056"/>
    <w:rsid w:val="7B5833F4"/>
    <w:rsid w:val="7BBBF38A"/>
    <w:rsid w:val="7BC3769B"/>
    <w:rsid w:val="7D8697B3"/>
    <w:rsid w:val="7E2310B8"/>
    <w:rsid w:val="7E644621"/>
    <w:rsid w:val="7E663931"/>
    <w:rsid w:val="7FA73EF9"/>
    <w:rsid w:val="7FD24C09"/>
    <w:rsid w:val="7FD528A7"/>
    <w:rsid w:val="7FE66523"/>
    <w:rsid w:val="7FEE11B7"/>
    <w:rsid w:val="7FFB191F"/>
    <w:rsid w:val="B3217CC2"/>
    <w:rsid w:val="BDFD7D1C"/>
    <w:rsid w:val="CD17EB00"/>
    <w:rsid w:val="FCCD5352"/>
    <w:rsid w:val="FD952DB9"/>
    <w:rsid w:val="FF761420"/>
    <w:rsid w:val="FFFFE33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6" w:lineRule="auto"/>
      <w:outlineLvl w:val="0"/>
    </w:pPr>
    <w:rPr>
      <w:b/>
      <w:kern w:val="44"/>
      <w:sz w:val="44"/>
    </w:rPr>
  </w:style>
  <w:style w:type="paragraph" w:styleId="6">
    <w:name w:val="heading 2"/>
    <w:basedOn w:val="1"/>
    <w:next w:val="1"/>
    <w:qFormat/>
    <w:uiPriority w:val="0"/>
    <w:pPr>
      <w:keepNext/>
      <w:keepLines/>
      <w:spacing w:line="500" w:lineRule="exact"/>
      <w:ind w:firstLine="200" w:firstLineChars="200"/>
      <w:outlineLvl w:val="1"/>
    </w:pPr>
    <w:rPr>
      <w:rFonts w:ascii="Cambria" w:hAnsi="Cambria" w:eastAsia="仿宋" w:cs="宋体"/>
      <w:b/>
      <w:bCs/>
      <w:sz w:val="28"/>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next w:val="4"/>
    <w:qFormat/>
    <w:uiPriority w:val="99"/>
    <w:pPr>
      <w:spacing w:line="500" w:lineRule="exact"/>
      <w:ind w:firstLine="567"/>
    </w:pPr>
    <w:rPr>
      <w:rFonts w:ascii="宋体"/>
      <w:sz w:val="28"/>
    </w:rPr>
  </w:style>
  <w:style w:type="paragraph" w:styleId="4">
    <w:name w:val="envelope return"/>
    <w:basedOn w:val="1"/>
    <w:qFormat/>
    <w:uiPriority w:val="99"/>
    <w:pPr>
      <w:snapToGrid w:val="0"/>
    </w:pPr>
    <w:rPr>
      <w:rFonts w:ascii="Arial" w:hAnsi="Arial"/>
    </w:rPr>
  </w:style>
  <w:style w:type="paragraph" w:styleId="7">
    <w:name w:val="annotation text"/>
    <w:basedOn w:val="1"/>
    <w:link w:val="25"/>
    <w:semiHidden/>
    <w:unhideWhenUsed/>
    <w:qFormat/>
    <w:uiPriority w:val="99"/>
    <w:pPr>
      <w:jc w:val="left"/>
    </w:pPr>
  </w:style>
  <w:style w:type="paragraph" w:styleId="8">
    <w:name w:val="Balloon Text"/>
    <w:basedOn w:val="1"/>
    <w:link w:val="27"/>
    <w:semiHidden/>
    <w:unhideWhenUsed/>
    <w:qFormat/>
    <w:uiPriority w:val="99"/>
    <w:rPr>
      <w:sz w:val="18"/>
      <w:szCs w:val="18"/>
    </w:rPr>
  </w:style>
  <w:style w:type="paragraph" w:styleId="9">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Body Text 2"/>
    <w:basedOn w:val="1"/>
    <w:qFormat/>
    <w:uiPriority w:val="99"/>
    <w:pPr>
      <w:spacing w:after="120" w:line="480" w:lineRule="auto"/>
    </w:pPr>
  </w:style>
  <w:style w:type="paragraph" w:styleId="12">
    <w:name w:val="annotation subject"/>
    <w:basedOn w:val="7"/>
    <w:next w:val="7"/>
    <w:link w:val="26"/>
    <w:semiHidden/>
    <w:unhideWhenUsed/>
    <w:qFormat/>
    <w:uiPriority w:val="99"/>
    <w:rPr>
      <w:b/>
      <w:bCs/>
    </w:rPr>
  </w:style>
  <w:style w:type="table" w:styleId="14">
    <w:name w:val="Table Grid"/>
    <w:basedOn w:val="13"/>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annotation reference"/>
    <w:basedOn w:val="15"/>
    <w:semiHidden/>
    <w:unhideWhenUsed/>
    <w:qFormat/>
    <w:uiPriority w:val="99"/>
    <w:rPr>
      <w:sz w:val="21"/>
      <w:szCs w:val="21"/>
    </w:rPr>
  </w:style>
  <w:style w:type="character" w:customStyle="1" w:styleId="17">
    <w:name w:val="页眉 Char"/>
    <w:basedOn w:val="15"/>
    <w:link w:val="10"/>
    <w:qFormat/>
    <w:uiPriority w:val="99"/>
    <w:rPr>
      <w:sz w:val="18"/>
      <w:szCs w:val="18"/>
    </w:rPr>
  </w:style>
  <w:style w:type="character" w:customStyle="1" w:styleId="18">
    <w:name w:val="页脚 Char"/>
    <w:basedOn w:val="15"/>
    <w:link w:val="9"/>
    <w:qFormat/>
    <w:uiPriority w:val="99"/>
    <w:rPr>
      <w:sz w:val="18"/>
      <w:szCs w:val="18"/>
    </w:rPr>
  </w:style>
  <w:style w:type="paragraph" w:customStyle="1" w:styleId="19">
    <w:name w:val="正文二"/>
    <w:basedOn w:val="1"/>
    <w:qFormat/>
    <w:uiPriority w:val="0"/>
    <w:pPr>
      <w:ind w:firstLine="200" w:firstLineChars="200"/>
    </w:pPr>
    <w:rPr>
      <w:rFonts w:ascii="宋体" w:hAnsi="宋体" w:eastAsia="仿宋_GB2312"/>
      <w:sz w:val="28"/>
      <w:szCs w:val="30"/>
    </w:rPr>
  </w:style>
  <w:style w:type="paragraph" w:customStyle="1" w:styleId="20">
    <w:name w:val="机关发文"/>
    <w:basedOn w:val="21"/>
    <w:qFormat/>
    <w:uiPriority w:val="0"/>
    <w:pPr>
      <w:spacing w:line="560" w:lineRule="exact"/>
      <w:ind w:firstLine="200" w:firstLineChars="200"/>
    </w:pPr>
    <w:rPr>
      <w:rFonts w:eastAsia="仿宋_GB2312"/>
      <w:sz w:val="32"/>
    </w:rPr>
  </w:style>
  <w:style w:type="paragraph" w:customStyle="1" w:styleId="21">
    <w:name w:val="标书正文"/>
    <w:basedOn w:val="1"/>
    <w:qFormat/>
    <w:uiPriority w:val="0"/>
    <w:rPr>
      <w:szCs w:val="20"/>
    </w:rPr>
  </w:style>
  <w:style w:type="paragraph" w:customStyle="1" w:styleId="22">
    <w:name w:val="无间隔2"/>
    <w:qFormat/>
    <w:uiPriority w:val="0"/>
    <w:rPr>
      <w:rFonts w:ascii="Calibri" w:hAnsi="Calibri" w:eastAsia="宋体" w:cs="Calibri"/>
      <w:sz w:val="22"/>
      <w:szCs w:val="22"/>
      <w:lang w:val="en-US" w:eastAsia="zh-CN" w:bidi="ar-SA"/>
    </w:rPr>
  </w:style>
  <w:style w:type="paragraph" w:customStyle="1" w:styleId="23">
    <w:name w:val="青浦-正文"/>
    <w:basedOn w:val="1"/>
    <w:qFormat/>
    <w:uiPriority w:val="0"/>
    <w:pPr>
      <w:spacing w:line="560" w:lineRule="exact"/>
      <w:ind w:firstLine="640" w:firstLineChars="200"/>
    </w:pPr>
    <w:rPr>
      <w:rFonts w:eastAsia="仿宋_GB2312"/>
      <w:sz w:val="32"/>
      <w:szCs w:val="32"/>
    </w:rPr>
  </w:style>
  <w:style w:type="paragraph" w:customStyle="1" w:styleId="24">
    <w:name w:val="青浦-二级"/>
    <w:basedOn w:val="1"/>
    <w:qFormat/>
    <w:uiPriority w:val="0"/>
    <w:pPr>
      <w:spacing w:line="560" w:lineRule="exact"/>
      <w:ind w:firstLine="200" w:firstLineChars="200"/>
      <w:outlineLvl w:val="1"/>
    </w:pPr>
    <w:rPr>
      <w:rFonts w:ascii="楷体_GB2312" w:hAnsi="楷体_GB2312" w:eastAsia="楷体_GB2312" w:cs="楷体_GB2312"/>
      <w:sz w:val="32"/>
      <w:szCs w:val="32"/>
    </w:rPr>
  </w:style>
  <w:style w:type="character" w:customStyle="1" w:styleId="25">
    <w:name w:val="批注文字 Char"/>
    <w:basedOn w:val="15"/>
    <w:link w:val="7"/>
    <w:semiHidden/>
    <w:qFormat/>
    <w:uiPriority w:val="99"/>
    <w:rPr>
      <w:rFonts w:ascii="Times New Roman" w:hAnsi="Times New Roman" w:eastAsia="宋体" w:cs="Times New Roman"/>
      <w:kern w:val="2"/>
      <w:sz w:val="21"/>
      <w:szCs w:val="24"/>
    </w:rPr>
  </w:style>
  <w:style w:type="character" w:customStyle="1" w:styleId="26">
    <w:name w:val="批注主题 Char"/>
    <w:basedOn w:val="25"/>
    <w:link w:val="12"/>
    <w:semiHidden/>
    <w:qFormat/>
    <w:uiPriority w:val="99"/>
    <w:rPr>
      <w:rFonts w:ascii="Times New Roman" w:hAnsi="Times New Roman" w:eastAsia="宋体" w:cs="Times New Roman"/>
      <w:b/>
      <w:bCs/>
      <w:kern w:val="2"/>
      <w:sz w:val="21"/>
      <w:szCs w:val="24"/>
    </w:rPr>
  </w:style>
  <w:style w:type="character" w:customStyle="1" w:styleId="27">
    <w:name w:val="批注框文本 Char"/>
    <w:basedOn w:val="15"/>
    <w:link w:val="8"/>
    <w:semiHidden/>
    <w:qFormat/>
    <w:uiPriority w:val="99"/>
    <w:rPr>
      <w:rFonts w:ascii="Times New Roman" w:hAnsi="Times New Roman" w:eastAsia="宋体" w:cs="Times New Roman"/>
      <w:kern w:val="2"/>
      <w:sz w:val="18"/>
      <w:szCs w:val="18"/>
    </w:rPr>
  </w:style>
  <w:style w:type="character" w:customStyle="1" w:styleId="28">
    <w:name w:val="标题 1 Char"/>
    <w:link w:val="5"/>
    <w:qFormat/>
    <w:uiPriority w:val="0"/>
    <w:rPr>
      <w:b/>
      <w:kern w:val="44"/>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4204</Words>
  <Characters>4439</Characters>
  <Lines>31</Lines>
  <Paragraphs>8</Paragraphs>
  <TotalTime>0</TotalTime>
  <ScaleCrop>false</ScaleCrop>
  <LinksUpToDate>false</LinksUpToDate>
  <CharactersWithSpaces>4440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2018-07-03T08:20:00Z</dcterms:created>
  <dc:creator>Administrator</dc:creator>
  <cp:lastModifiedBy>zhuyh</cp:lastModifiedBy>
  <cp:lastPrinted>2020-07-10T00:56:00Z</cp:lastPrinted>
  <dcterms:modified xsi:type="dcterms:W3CDTF">2022-11-06T07:45:16Z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E2083A0D07864FF5B2BF493B6A5C07F3</vt:lpwstr>
  </property>
</Properties>
</file>