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340" w:after="330" w:line="576" w:lineRule="auto"/>
        <w:ind w:firstLine="0"/>
        <w:jc w:val="center"/>
        <w:rPr>
          <w:rFonts w:ascii="宋体" w:hAnsi="宋体" w:eastAsia="宋体" w:cs="宋体"/>
          <w:b/>
          <w:bCs w:val="0"/>
          <w:sz w:val="44"/>
        </w:rPr>
      </w:pPr>
      <w:bookmarkStart w:id="0" w:name="_Toc430273898"/>
      <w:bookmarkStart w:id="1" w:name="_Toc429571462"/>
      <w:bookmarkStart w:id="2" w:name="_Toc7382"/>
      <w:bookmarkStart w:id="3" w:name="_Toc111119103"/>
      <w:r>
        <w:rPr>
          <w:rFonts w:hint="eastAsia" w:ascii="宋体" w:hAnsi="宋体" w:eastAsia="宋体" w:cs="宋体"/>
          <w:b/>
          <w:bCs w:val="0"/>
          <w:sz w:val="44"/>
        </w:rPr>
        <w:t>2021年青浦区城镇保障性安居工程项目支出绩效评价结果信息公开</w:t>
      </w:r>
    </w:p>
    <w:p>
      <w:pPr>
        <w:spacing w:after="156" w:afterLines="50" w:line="360" w:lineRule="auto"/>
        <w:ind w:firstLine="480" w:firstLineChars="200"/>
        <w:outlineLvl w:val="0"/>
        <w:rPr>
          <w:rFonts w:hint="eastAsia"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青浦区财政局组织对2021年青浦区城镇保障性安居工程实施绩效评价，并委托上海立丰税务师事务所有限公司</w:t>
      </w:r>
      <w:r>
        <w:rPr>
          <w:rFonts w:hint="eastAsia" w:ascii="宋体" w:hAnsi="宋体" w:cs="宋体"/>
          <w:sz w:val="24"/>
          <w:lang w:val="en-US" w:eastAsia="zh-CN"/>
        </w:rPr>
        <w:t>具体</w:t>
      </w:r>
      <w:r>
        <w:rPr>
          <w:rFonts w:hint="eastAsia" w:ascii="宋体" w:hAnsi="宋体" w:cs="宋体"/>
          <w:sz w:val="24"/>
        </w:rPr>
        <w:t>实施。区房管局和区财政局围绕预算管理、项目管理及财政内部管理等进行绩效评价结果落实应用。</w:t>
      </w:r>
    </w:p>
    <w:p>
      <w:pPr>
        <w:spacing w:after="156" w:afterLines="50" w:line="360" w:lineRule="auto"/>
        <w:ind w:firstLine="480" w:firstLineChars="200"/>
        <w:outlineLvl w:val="0"/>
        <w:rPr>
          <w:rFonts w:ascii="宋体" w:hAnsi="宋体" w:cs="宋体"/>
          <w:sz w:val="24"/>
        </w:rPr>
      </w:pPr>
      <w:bookmarkStart w:id="17" w:name="_GoBack"/>
      <w:bookmarkEnd w:id="17"/>
      <w:r>
        <w:rPr>
          <w:rFonts w:hint="eastAsia" w:ascii="宋体" w:hAnsi="宋体" w:cs="宋体"/>
          <w:sz w:val="24"/>
        </w:rPr>
        <w:t>一、项目概</w:t>
      </w:r>
      <w:bookmarkEnd w:id="0"/>
      <w:bookmarkEnd w:id="1"/>
      <w:r>
        <w:rPr>
          <w:rFonts w:hint="eastAsia" w:ascii="宋体" w:hAnsi="宋体" w:cs="宋体"/>
          <w:sz w:val="24"/>
        </w:rPr>
        <w:t>况</w:t>
      </w:r>
      <w:bookmarkEnd w:id="2"/>
      <w:bookmarkEnd w:id="3"/>
    </w:p>
    <w:p>
      <w:pPr>
        <w:spacing w:after="156" w:afterLines="50" w:line="360" w:lineRule="auto"/>
        <w:ind w:firstLine="480" w:firstLineChars="200"/>
        <w:rPr>
          <w:rFonts w:ascii="宋体" w:hAnsi="宋体" w:cs="宋体"/>
          <w:sz w:val="24"/>
        </w:rPr>
      </w:pPr>
      <w:r>
        <w:rPr>
          <w:rFonts w:hint="eastAsia" w:ascii="宋体" w:hAnsi="宋体" w:cs="宋体"/>
          <w:sz w:val="24"/>
        </w:rPr>
        <w:t>2021年是“十四五”规划的开局之年，也是住房发展新一轮规划的启动之年。上海市青浦区人民政府发布了《关于印发&lt;青浦区住房发展“十四五”规划&gt;的通知》，文件提出了要更加规范租赁市场、持续加强旧房改造和修缮工作等目标。</w:t>
      </w:r>
    </w:p>
    <w:p>
      <w:pPr>
        <w:spacing w:after="156" w:afterLines="50" w:line="360" w:lineRule="auto"/>
        <w:ind w:firstLine="480" w:firstLineChars="200"/>
        <w:rPr>
          <w:rFonts w:ascii="宋体" w:hAnsi="宋体" w:cs="宋体"/>
          <w:sz w:val="24"/>
        </w:rPr>
      </w:pPr>
      <w:r>
        <w:rPr>
          <w:rFonts w:hint="eastAsia" w:ascii="宋体" w:hAnsi="宋体" w:cs="宋体"/>
          <w:sz w:val="24"/>
        </w:rPr>
        <w:t>根据《关于保障性安居工程建设和管理的指导意见》以及“十四五”规划，青浦区住房保障和房屋管理局编制了2021年部门工作要点，提出“无卫生设施改造、实施‘整容’工程，保障住房民生、做优‘惠民’工程”等工作要点，统筹推进住房保障房屋管理各项工作。</w:t>
      </w:r>
    </w:p>
    <w:p>
      <w:pPr>
        <w:spacing w:after="156" w:afterLines="50" w:line="360" w:lineRule="auto"/>
        <w:ind w:firstLine="480" w:firstLineChars="200"/>
        <w:rPr>
          <w:rFonts w:ascii="宋体" w:hAnsi="宋体" w:cs="宋体"/>
          <w:sz w:val="24"/>
        </w:rPr>
      </w:pPr>
      <w:r>
        <w:rPr>
          <w:rFonts w:hint="eastAsia" w:ascii="宋体" w:hAnsi="宋体" w:cs="宋体"/>
          <w:sz w:val="24"/>
        </w:rPr>
        <w:t>根据上述文件精神，青浦区住房保障和房屋管理局继续实施“城镇保障性安居工程”项目，项目包括廉租住房租金补贴、公共租赁住房、旧住房更新改造项目</w:t>
      </w:r>
      <w:r>
        <w:rPr>
          <w:rFonts w:hint="eastAsia" w:ascii="宋体" w:hAnsi="宋体" w:cs="宋体"/>
          <w:sz w:val="24"/>
        </w:rPr>
        <w:footnoteReference w:id="0"/>
      </w:r>
      <w:r>
        <w:rPr>
          <w:rFonts w:hint="eastAsia" w:ascii="宋体" w:hAnsi="宋体" w:cs="宋体"/>
          <w:sz w:val="24"/>
        </w:rPr>
        <w:t>等内容，但不涉及公共租赁住房资金，公共租赁住房资金来源为租金收入。本项目资金来源于市级、区级、镇级财政，廉租住房租金补贴资金来源于区级财政，旧住房更新改造项目除市级补贴资金外，区、镇两级按比例承担。2021年年初预算18,819.51万元，调整后预算17,719.51万元，预算调整主要原因为一个旧里改造项目暂缓安排，2021年实际支出17,634.70万元，预算执行率99.52%。</w:t>
      </w:r>
    </w:p>
    <w:p>
      <w:pPr>
        <w:spacing w:after="156" w:afterLines="50" w:line="360" w:lineRule="auto"/>
        <w:ind w:firstLine="480" w:firstLineChars="200"/>
        <w:outlineLvl w:val="0"/>
        <w:rPr>
          <w:rFonts w:ascii="宋体" w:hAnsi="宋体" w:cs="宋体"/>
          <w:sz w:val="24"/>
        </w:rPr>
      </w:pPr>
      <w:bookmarkStart w:id="4" w:name="_Toc7585"/>
      <w:bookmarkStart w:id="5" w:name="_Toc111119104"/>
      <w:r>
        <w:rPr>
          <w:rFonts w:hint="eastAsia" w:ascii="宋体" w:hAnsi="宋体" w:cs="宋体"/>
          <w:sz w:val="24"/>
        </w:rPr>
        <w:t>二、评价结论和主要绩效</w:t>
      </w:r>
      <w:bookmarkEnd w:id="4"/>
      <w:bookmarkEnd w:id="5"/>
    </w:p>
    <w:p>
      <w:pPr>
        <w:spacing w:after="156" w:afterLines="50" w:line="360" w:lineRule="auto"/>
        <w:ind w:firstLine="480" w:firstLineChars="200"/>
        <w:rPr>
          <w:rFonts w:ascii="宋体" w:hAnsi="宋体" w:cs="宋体"/>
          <w:sz w:val="24"/>
        </w:rPr>
      </w:pPr>
      <w:bookmarkStart w:id="6" w:name="_Hlk96178194"/>
      <w:r>
        <w:rPr>
          <w:rFonts w:hint="eastAsia" w:ascii="宋体" w:hAnsi="宋体" w:cs="宋体"/>
          <w:sz w:val="24"/>
        </w:rPr>
        <w:t>通过调研、数据分析、访谈等方式，根据《城镇保障性安居工程财政资金绩效评价办法》的要求，按照《城镇保障性安居工程财政资金绩效评价指标表》及评分标准，对“2021年青浦区城镇保障性安居工程项目”绩效进行客观评价，评价结果为92.90分，绩效等级为“优”，其中资金管理指标得26.90分，得分率为89.67%；项目管理指标得8.5分，得分率为85.00%；产出效益指标得57.5分，得分率为95.83%。</w:t>
      </w:r>
    </w:p>
    <w:p>
      <w:pPr>
        <w:spacing w:after="156" w:afterLines="50" w:line="360" w:lineRule="auto"/>
        <w:ind w:firstLine="480" w:firstLineChars="200"/>
        <w:rPr>
          <w:rFonts w:ascii="宋体" w:hAnsi="宋体" w:cs="宋体"/>
          <w:sz w:val="24"/>
        </w:rPr>
      </w:pPr>
      <w:r>
        <w:rPr>
          <w:rFonts w:hint="eastAsia" w:ascii="宋体" w:hAnsi="宋体" w:cs="宋体"/>
          <w:sz w:val="24"/>
        </w:rPr>
        <w:t>评价结果显示：该项目资金管理较为规范，项目管理制度较为健全，目标完成情况总体较好，居民居住品质进一步改善，居民生活幸福感进一步提升。其中：</w:t>
      </w:r>
    </w:p>
    <w:bookmarkEnd w:id="6"/>
    <w:p>
      <w:pPr>
        <w:spacing w:after="156" w:afterLines="50" w:line="360" w:lineRule="auto"/>
        <w:ind w:firstLine="480" w:firstLineChars="200"/>
        <w:rPr>
          <w:rFonts w:ascii="宋体" w:hAnsi="宋体" w:cs="宋体"/>
          <w:sz w:val="24"/>
        </w:rPr>
      </w:pPr>
      <w:r>
        <w:rPr>
          <w:rFonts w:hint="eastAsia" w:ascii="宋体" w:hAnsi="宋体" w:cs="宋体"/>
          <w:sz w:val="24"/>
        </w:rPr>
        <w:t>资金管理方面，资金来源于市级、区级、镇级财政，资金管理办法健全，资金分配及时，预算执行率99.52%，资金使用管理合规。</w:t>
      </w:r>
    </w:p>
    <w:p>
      <w:pPr>
        <w:spacing w:after="156" w:afterLines="50" w:line="360" w:lineRule="auto"/>
        <w:ind w:firstLine="480" w:firstLineChars="200"/>
        <w:rPr>
          <w:rFonts w:ascii="宋体" w:hAnsi="宋体" w:cs="宋体"/>
          <w:sz w:val="24"/>
        </w:rPr>
      </w:pPr>
      <w:r>
        <w:rPr>
          <w:rFonts w:hint="eastAsia" w:ascii="宋体" w:hAnsi="宋体" w:cs="宋体"/>
          <w:sz w:val="24"/>
        </w:rPr>
        <w:t>项目管理方面，旧住房更新改造项目和租赁住房项目均纳入市级项目储备库管理，建立了统筹协调机制，及时开展绩效评价工作并按时报送报告。但未对入库项目的优先顺序进行排序。</w:t>
      </w:r>
    </w:p>
    <w:p>
      <w:pPr>
        <w:spacing w:after="156" w:afterLines="50" w:line="360" w:lineRule="auto"/>
        <w:ind w:firstLine="480" w:firstLineChars="200"/>
        <w:rPr>
          <w:rFonts w:ascii="宋体" w:hAnsi="宋体" w:cs="宋体"/>
          <w:sz w:val="24"/>
        </w:rPr>
      </w:pPr>
      <w:r>
        <w:rPr>
          <w:rFonts w:hint="eastAsia" w:ascii="宋体" w:hAnsi="宋体" w:cs="宋体"/>
          <w:sz w:val="24"/>
        </w:rPr>
        <w:t>产出效益方面，完成廉租住房补贴发放504户家庭，实物配租房补贴212户家庭，做到“应保尽保”，完成公共租赁住房新增房源筹措298套、新增供应房源332套，完成旧里改造项目的90%工程量，保障性租赁住房项目纳入住房租赁管理服务平台管理，方案改造计划经居民表决同意，未发生工程质量安全问题，配套政策制度完善，租赁住房保障满意度90.97%，完成改造小区居民满意度98.52%。但廉租住房补贴的动态跟踪管理不够及时，旧里改造项目档案管理不够及时。</w:t>
      </w:r>
    </w:p>
    <w:p>
      <w:pPr>
        <w:spacing w:after="156" w:afterLines="50" w:line="360" w:lineRule="auto"/>
        <w:ind w:firstLine="480" w:firstLineChars="200"/>
        <w:outlineLvl w:val="0"/>
        <w:rPr>
          <w:rFonts w:ascii="宋体" w:hAnsi="宋体" w:cs="宋体"/>
          <w:sz w:val="24"/>
        </w:rPr>
      </w:pPr>
      <w:bookmarkStart w:id="7" w:name="_Toc111119105"/>
      <w:bookmarkStart w:id="8" w:name="_Toc1614"/>
      <w:r>
        <w:rPr>
          <w:rFonts w:hint="eastAsia" w:ascii="宋体" w:hAnsi="宋体" w:cs="宋体"/>
          <w:sz w:val="24"/>
        </w:rPr>
        <w:t>三、主要经验、问题和建议</w:t>
      </w:r>
      <w:bookmarkEnd w:id="7"/>
      <w:bookmarkEnd w:id="8"/>
    </w:p>
    <w:p>
      <w:pPr>
        <w:spacing w:after="156" w:afterLines="50" w:line="360" w:lineRule="auto"/>
        <w:ind w:firstLine="480" w:firstLineChars="200"/>
        <w:outlineLvl w:val="1"/>
        <w:rPr>
          <w:rFonts w:ascii="宋体" w:hAnsi="宋体" w:cs="宋体"/>
          <w:sz w:val="24"/>
        </w:rPr>
      </w:pPr>
      <w:bookmarkStart w:id="9" w:name="_Toc17166"/>
      <w:bookmarkStart w:id="10" w:name="_Toc111119106"/>
      <w:r>
        <w:rPr>
          <w:rFonts w:hint="eastAsia" w:ascii="宋体" w:hAnsi="宋体" w:cs="宋体"/>
          <w:sz w:val="24"/>
        </w:rPr>
        <w:t>（一）主要经验及做法</w:t>
      </w:r>
      <w:bookmarkEnd w:id="9"/>
      <w:bookmarkEnd w:id="10"/>
    </w:p>
    <w:p>
      <w:pPr>
        <w:spacing w:after="156" w:afterLines="50" w:line="360" w:lineRule="auto"/>
        <w:ind w:firstLine="480" w:firstLineChars="200"/>
        <w:outlineLvl w:val="2"/>
        <w:rPr>
          <w:rFonts w:ascii="宋体" w:hAnsi="宋体" w:cs="宋体"/>
          <w:sz w:val="24"/>
        </w:rPr>
      </w:pPr>
      <w:r>
        <w:rPr>
          <w:rFonts w:hint="eastAsia" w:ascii="宋体" w:hAnsi="宋体" w:cs="宋体"/>
          <w:sz w:val="24"/>
        </w:rPr>
        <w:t>1.持续推进城镇保障性安居工程项目，进一步保障和改善民生</w:t>
      </w:r>
    </w:p>
    <w:p>
      <w:pPr>
        <w:spacing w:after="156" w:afterLines="50" w:line="360" w:lineRule="auto"/>
        <w:ind w:firstLine="480" w:firstLineChars="200"/>
        <w:rPr>
          <w:rFonts w:ascii="宋体" w:hAnsi="宋体" w:cs="宋体"/>
          <w:sz w:val="24"/>
        </w:rPr>
      </w:pPr>
      <w:r>
        <w:rPr>
          <w:rFonts w:hint="eastAsia" w:ascii="宋体" w:hAnsi="宋体" w:cs="宋体"/>
          <w:sz w:val="24"/>
        </w:rPr>
        <w:t>在2021年项目开展过程中，共对504户廉租住房补贴家庭及212户实物配租房补贴家庭进行租金补贴发放，总计1002.59万元；新增公共租赁住房房源筹措298套，新增公共租赁住房供应房源332套，公共租赁住房型人才公寓已签约1641套、出租率72%，区筹公共租赁住房已签约605套、出租率94%；2021年10月，2项旧里改造项目工程已按时完成竣工验收，均一次性验收合格。对符合条件的廉租住房租金配租家庭做到了“应保尽保”，为青浦区居民提供了保障性住房的供应，保持了旧住房更新改造力度，进一步改善了居民居住品质，提升了居民生活幸福感。</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2.开展街道旧里摸底调查，充分听取民意</w:t>
      </w:r>
    </w:p>
    <w:p>
      <w:pPr>
        <w:spacing w:after="156" w:afterLines="50" w:line="360" w:lineRule="auto"/>
        <w:ind w:firstLine="480" w:firstLineChars="200"/>
        <w:rPr>
          <w:rFonts w:ascii="宋体" w:hAnsi="宋体" w:cs="宋体"/>
          <w:sz w:val="24"/>
        </w:rPr>
      </w:pPr>
      <w:r>
        <w:rPr>
          <w:rFonts w:hint="eastAsia" w:ascii="宋体" w:hAnsi="宋体" w:cs="宋体"/>
          <w:sz w:val="24"/>
        </w:rPr>
        <w:t>为了切实解决居民住房问题，2020年青浦区对旧里进行摸底调查，针对全区2448户没有卫生设施的旧里，计划分三年实施旧里改造。在项目开展过程中，重视居民参与，项目代建单位编制完成实施方案后，进行公示并开展业主意见征询工作，经三分之二以上业主同意后进行改造，充分考虑了居民意见，切实改善群众居住条件和生活质量。</w:t>
      </w:r>
    </w:p>
    <w:p>
      <w:pPr>
        <w:spacing w:after="156" w:afterLines="50" w:line="360" w:lineRule="auto"/>
        <w:ind w:firstLine="480" w:firstLineChars="200"/>
        <w:outlineLvl w:val="1"/>
        <w:rPr>
          <w:rFonts w:ascii="宋体" w:hAnsi="宋体" w:cs="宋体"/>
          <w:sz w:val="24"/>
        </w:rPr>
      </w:pPr>
      <w:bookmarkStart w:id="11" w:name="_Toc16550"/>
      <w:bookmarkStart w:id="12" w:name="_Toc111119107"/>
      <w:r>
        <w:rPr>
          <w:rFonts w:hint="eastAsia" w:ascii="宋体" w:hAnsi="宋体" w:cs="宋体"/>
          <w:sz w:val="24"/>
        </w:rPr>
        <w:t>（二）存在问题</w:t>
      </w:r>
      <w:bookmarkEnd w:id="11"/>
      <w:bookmarkEnd w:id="12"/>
    </w:p>
    <w:p>
      <w:pPr>
        <w:spacing w:after="156" w:afterLines="50" w:line="360" w:lineRule="auto"/>
        <w:ind w:firstLine="480" w:firstLineChars="200"/>
        <w:outlineLvl w:val="2"/>
        <w:rPr>
          <w:rFonts w:ascii="宋体" w:hAnsi="宋体" w:cs="宋体"/>
          <w:sz w:val="24"/>
        </w:rPr>
      </w:pPr>
      <w:r>
        <w:rPr>
          <w:rFonts w:hint="eastAsia" w:ascii="宋体" w:hAnsi="宋体" w:cs="宋体"/>
          <w:sz w:val="24"/>
        </w:rPr>
        <w:t>1.未对入库项目的优先顺序进行排序</w:t>
      </w:r>
    </w:p>
    <w:p>
      <w:pPr>
        <w:spacing w:after="156" w:afterLines="50" w:line="360" w:lineRule="auto"/>
        <w:ind w:firstLine="480" w:firstLineChars="200"/>
        <w:rPr>
          <w:rFonts w:ascii="宋体" w:hAnsi="宋体" w:cs="宋体"/>
          <w:sz w:val="24"/>
        </w:rPr>
      </w:pPr>
      <w:r>
        <w:rPr>
          <w:rFonts w:hint="eastAsia" w:ascii="宋体" w:hAnsi="宋体" w:cs="宋体"/>
          <w:sz w:val="24"/>
        </w:rPr>
        <w:t>青浦区旧里改造项目在旧里摸底调查后制定了分三年实施的开展计划，但项目单位未对入库项目初步实施方案进行量化计分、排序，未明确纳入年度改造计划的优先顺序。</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2.廉租住房的项目动态跟踪管理不够及时</w:t>
      </w:r>
    </w:p>
    <w:p>
      <w:pPr>
        <w:spacing w:after="156" w:afterLines="50" w:line="360" w:lineRule="auto"/>
        <w:ind w:firstLine="480" w:firstLineChars="200"/>
        <w:rPr>
          <w:rFonts w:ascii="宋体" w:hAnsi="宋体" w:cs="宋体"/>
          <w:sz w:val="24"/>
        </w:rPr>
      </w:pPr>
      <w:r>
        <w:rPr>
          <w:rFonts w:hint="eastAsia" w:ascii="宋体" w:hAnsi="宋体" w:cs="宋体"/>
          <w:sz w:val="24"/>
        </w:rPr>
        <w:t>根据《廉租住房申请审核业务手册》规定，廉租对象应每年一次向住房保障机构申报重大情况变更，但实际对廉租家庭每3年进行一次资格复核，未见每年一次的重大情况变更的申报，项目动态跟踪管理不够及时。</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3.部分监理报告未及时归档，旧里改造项目档案管理不够及时</w:t>
      </w:r>
    </w:p>
    <w:p>
      <w:pPr>
        <w:spacing w:after="156" w:afterLines="50" w:line="360" w:lineRule="auto"/>
        <w:ind w:firstLine="480" w:firstLineChars="200"/>
        <w:rPr>
          <w:rFonts w:ascii="宋体" w:hAnsi="宋体" w:cs="宋体"/>
          <w:sz w:val="24"/>
        </w:rPr>
      </w:pPr>
      <w:r>
        <w:rPr>
          <w:rFonts w:hint="eastAsia" w:ascii="宋体" w:hAnsi="宋体" w:cs="宋体"/>
          <w:sz w:val="24"/>
        </w:rPr>
        <w:t>青浦区旧里改造项目的监理单位通过工程例会、监理周报、月报等方式向青浦区房屋管理有限公司进行汇报，2021年10月，朱家角镇东湖街西湖街、白鹤镇旧里改造项目工程已按时完成竣工验收，但截至2021年底，2项旧里改造工程的总监理报告未及时报送至青浦区房屋管理有限公司进行归档，旧里改造项目的档案管理不够及时。</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4.廉租住房租金补贴的预算编制依据不够充分</w:t>
      </w:r>
    </w:p>
    <w:p>
      <w:pPr>
        <w:spacing w:after="156" w:afterLines="50" w:line="360" w:lineRule="auto"/>
        <w:ind w:firstLine="480" w:firstLineChars="200"/>
        <w:rPr>
          <w:rFonts w:ascii="宋体" w:hAnsi="宋体" w:cs="宋体"/>
          <w:sz w:val="24"/>
        </w:rPr>
      </w:pPr>
      <w:r>
        <w:rPr>
          <w:rFonts w:hint="eastAsia" w:ascii="宋体" w:hAnsi="宋体" w:cs="宋体"/>
          <w:sz w:val="24"/>
        </w:rPr>
        <w:t>廉租住房租金补贴的预算编制以上一年度的支出为基础，并增加考虑新因素的老方法，预算编制过程缺乏自下而上的前期调研及相关数据支撑，预算编制依据不够充分。</w:t>
      </w:r>
    </w:p>
    <w:p>
      <w:pPr>
        <w:spacing w:after="156" w:afterLines="50" w:line="360" w:lineRule="auto"/>
        <w:ind w:firstLine="480" w:firstLineChars="200"/>
        <w:outlineLvl w:val="1"/>
        <w:rPr>
          <w:rFonts w:ascii="宋体" w:hAnsi="宋体" w:cs="宋体"/>
          <w:sz w:val="24"/>
        </w:rPr>
      </w:pPr>
      <w:bookmarkStart w:id="13" w:name="_Toc9159"/>
      <w:bookmarkStart w:id="14" w:name="_Toc111119108"/>
      <w:r>
        <w:rPr>
          <w:rFonts w:hint="eastAsia" w:ascii="宋体" w:hAnsi="宋体" w:cs="宋体"/>
          <w:sz w:val="24"/>
        </w:rPr>
        <w:t>（三）建议和改进举措</w:t>
      </w:r>
      <w:bookmarkEnd w:id="13"/>
      <w:bookmarkEnd w:id="14"/>
    </w:p>
    <w:p>
      <w:pPr>
        <w:spacing w:after="156" w:afterLines="50" w:line="360" w:lineRule="auto"/>
        <w:ind w:firstLine="480" w:firstLineChars="200"/>
        <w:outlineLvl w:val="2"/>
        <w:rPr>
          <w:rFonts w:ascii="宋体" w:hAnsi="宋体" w:cs="宋体"/>
          <w:sz w:val="24"/>
        </w:rPr>
      </w:pPr>
      <w:r>
        <w:rPr>
          <w:rFonts w:hint="eastAsia" w:ascii="宋体" w:hAnsi="宋体" w:cs="宋体"/>
          <w:sz w:val="24"/>
        </w:rPr>
        <w:t>1.对入库项目的优先顺序进行排序，合理制定年度计划</w:t>
      </w:r>
    </w:p>
    <w:p>
      <w:pPr>
        <w:spacing w:after="156" w:afterLines="50" w:line="360" w:lineRule="auto"/>
        <w:ind w:firstLine="480" w:firstLineChars="200"/>
        <w:rPr>
          <w:rFonts w:ascii="宋体" w:hAnsi="宋体" w:cs="宋体"/>
          <w:sz w:val="24"/>
        </w:rPr>
      </w:pPr>
      <w:r>
        <w:rPr>
          <w:rFonts w:hint="eastAsia" w:ascii="宋体" w:hAnsi="宋体" w:cs="宋体"/>
          <w:sz w:val="24"/>
        </w:rPr>
        <w:t>建议项目单位在制定下一年的年度计划前，提前了解项目的基本情况，旧里改造类项目还需提前掌握居民基本的改造意愿等，根据项目实施的成熟度对入库项目的优先顺序进行排序，并按顺序纳入年度工作计划，便于后续顺利推进住房保障工作。</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2.通过大数据共享及时掌握相关信息，加强项目动态监管</w:t>
      </w:r>
    </w:p>
    <w:p>
      <w:pPr>
        <w:spacing w:after="156" w:afterLines="50" w:line="360" w:lineRule="auto"/>
        <w:ind w:firstLine="480" w:firstLineChars="200"/>
        <w:rPr>
          <w:rFonts w:ascii="宋体" w:hAnsi="宋体" w:cs="宋体"/>
          <w:sz w:val="24"/>
        </w:rPr>
      </w:pPr>
      <w:r>
        <w:rPr>
          <w:rFonts w:hint="eastAsia" w:ascii="宋体" w:hAnsi="宋体" w:cs="宋体"/>
          <w:sz w:val="24"/>
        </w:rPr>
        <w:t>建议区住房保障事务中心加强申报制度的宣传力度，督促补贴对象按照规定期限上报有无重大情况变化，有助于政府部门及时根据变动情况做出相应的调整，更有效地实施廉租住房保障工作。</w:t>
      </w:r>
    </w:p>
    <w:p>
      <w:pPr>
        <w:spacing w:after="156" w:afterLines="50" w:line="360" w:lineRule="auto"/>
        <w:ind w:firstLine="480" w:firstLineChars="200"/>
        <w:rPr>
          <w:rFonts w:ascii="宋体" w:hAnsi="宋体" w:cs="宋体"/>
          <w:sz w:val="24"/>
        </w:rPr>
      </w:pPr>
      <w:r>
        <w:rPr>
          <w:rFonts w:hint="eastAsia" w:ascii="宋体" w:hAnsi="宋体" w:cs="宋体"/>
          <w:sz w:val="24"/>
        </w:rPr>
        <w:t>根据调研结果，自2022年起，上海市廉租住房管理信息系统已上线廉租住房申请家庭人员死亡信息查询功能等，区住房保障事务中心可通过大数据共享及时掌握相关信息，同时区住房保障事务中心将按照市级文件要求，督促街镇住房保障机构做好一年一次的重大情况变更申报，将该工作列入对街镇住房保障机构的年终工作绩效清单中。</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3.及时报送旧里改造项目监理报告，加强项目档案管理</w:t>
      </w:r>
    </w:p>
    <w:p>
      <w:pPr>
        <w:spacing w:after="156" w:afterLines="50" w:line="360" w:lineRule="auto"/>
        <w:ind w:firstLine="480" w:firstLineChars="200"/>
        <w:rPr>
          <w:rFonts w:ascii="宋体" w:hAnsi="宋体" w:cs="宋体"/>
          <w:sz w:val="24"/>
        </w:rPr>
      </w:pPr>
      <w:r>
        <w:rPr>
          <w:rFonts w:hint="eastAsia" w:ascii="宋体" w:hAnsi="宋体" w:cs="宋体"/>
          <w:sz w:val="24"/>
        </w:rPr>
        <w:t>建议项目单位、修缮管理单位以及代建单位加强对项目的档案管理，督促监理单位按规定及时报送旧里改造项目监理报告，进一步规范项目的档案整理，保障档案归档的完整性。</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4.完善预算编制依据，提高预算编制合理性</w:t>
      </w:r>
    </w:p>
    <w:p>
      <w:pPr>
        <w:spacing w:after="156" w:afterLines="50" w:line="360" w:lineRule="auto"/>
        <w:ind w:firstLine="480" w:firstLineChars="200"/>
        <w:rPr>
          <w:rFonts w:ascii="宋体" w:hAnsi="宋体" w:cs="宋体"/>
          <w:sz w:val="24"/>
        </w:rPr>
      </w:pPr>
      <w:r>
        <w:rPr>
          <w:rFonts w:hint="eastAsia" w:ascii="宋体" w:hAnsi="宋体" w:cs="宋体"/>
          <w:sz w:val="24"/>
        </w:rPr>
        <w:t>建议项目单位强化前期调研摸底工作，充分发挥街镇社区事务受理中心、居委会等部门的基础性作用，做好相关数据调查工作，完善预算编制依据，同时分析近几年的预算执行情况、增长情况等进行预算编制，进一步提高预算的合理性。</w:t>
      </w:r>
    </w:p>
    <w:p>
      <w:pPr>
        <w:spacing w:after="156" w:afterLines="50" w:line="360" w:lineRule="auto"/>
        <w:ind w:firstLine="480" w:firstLineChars="200"/>
        <w:outlineLvl w:val="1"/>
        <w:rPr>
          <w:rFonts w:ascii="宋体" w:hAnsi="宋体" w:cs="宋体"/>
          <w:sz w:val="24"/>
        </w:rPr>
      </w:pPr>
      <w:bookmarkStart w:id="15" w:name="_Toc16470"/>
      <w:bookmarkStart w:id="16" w:name="_Toc111119109"/>
      <w:r>
        <w:rPr>
          <w:rFonts w:hint="eastAsia" w:ascii="宋体" w:hAnsi="宋体" w:cs="宋体"/>
          <w:sz w:val="24"/>
        </w:rPr>
        <w:t>（四）其他建议</w:t>
      </w:r>
      <w:bookmarkEnd w:id="15"/>
      <w:bookmarkEnd w:id="16"/>
    </w:p>
    <w:p>
      <w:pPr>
        <w:spacing w:after="156" w:afterLines="50" w:line="360" w:lineRule="auto"/>
        <w:ind w:firstLine="480" w:firstLineChars="200"/>
        <w:rPr>
          <w:rFonts w:ascii="宋体" w:hAnsi="宋体" w:cs="宋体"/>
          <w:sz w:val="24"/>
        </w:rPr>
      </w:pPr>
      <w:r>
        <w:rPr>
          <w:rFonts w:hint="eastAsia" w:ascii="宋体" w:hAnsi="宋体" w:cs="宋体"/>
          <w:sz w:val="24"/>
        </w:rPr>
        <w:t>建议青浦区在以后年度开展旧住房更新改造类项目时，根据沪府办规〔2021〕2号文的精神，积极拓宽项目资金筹集渠道，可通过银行贷款等方式筹集资金。</w:t>
      </w:r>
    </w:p>
    <w:p>
      <w:pPr>
        <w:spacing w:after="156" w:afterLines="50" w:line="360" w:lineRule="auto"/>
        <w:ind w:firstLine="480" w:firstLineChars="200"/>
        <w:rPr>
          <w:rFonts w:ascii="宋体" w:hAnsi="宋体" w:cs="宋体"/>
          <w:sz w:val="24"/>
        </w:rPr>
      </w:pPr>
      <w:r>
        <w:rPr>
          <w:rFonts w:hint="eastAsia" w:ascii="宋体" w:hAnsi="宋体" w:cs="宋体"/>
          <w:sz w:val="24"/>
        </w:rPr>
        <w:t>青浦区城镇保障性安居工程项目2022年年初预算20,460.90万元（廉租住房租金补贴1,389.30万元、实物配租房补贴155.00万元、旧住房更新改造项目18,916.60万元）。根据《上海市人民政府关于调整本市廉租住房相关政策标准的通知》（沪府规〔2021〕17号）等文件要求，建议2022年度预算调减2,913.80万元，调整后预算17,547.10万元（廉租住房租金补贴1,296.50万元、实物配租房补贴155.00万元、旧住房更新改造项目16,095.60万元）。</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四、结果应用情况</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（一）关于“未对入库项目的优先顺序进行排序”问题</w:t>
      </w:r>
    </w:p>
    <w:p>
      <w:pPr>
        <w:spacing w:after="156" w:afterLines="50" w:line="360" w:lineRule="auto"/>
        <w:ind w:firstLine="480" w:firstLineChars="200"/>
        <w:rPr>
          <w:rFonts w:ascii="宋体" w:hAnsi="宋体" w:cs="宋体"/>
          <w:sz w:val="24"/>
        </w:rPr>
      </w:pPr>
      <w:r>
        <w:rPr>
          <w:rFonts w:hint="eastAsia" w:ascii="宋体" w:hAnsi="宋体" w:cs="宋体"/>
          <w:sz w:val="24"/>
        </w:rPr>
        <w:t>城市更新中心将在今后的年度改造计划制定前，提前掌握居民基本的改造意愿，充分了解改造项目的基本情况，根据项目实施的成熟度对入库项目进行量化计分和排序，并将优先顺序纳入年度工作计划，以有效保障改造项目的顺利推进工作。</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（二）关于“廉租住房的项目动态跟踪管理不够及时”问题</w:t>
      </w:r>
    </w:p>
    <w:p>
      <w:pPr>
        <w:spacing w:after="156" w:afterLines="50" w:line="360" w:lineRule="auto"/>
        <w:ind w:firstLine="480" w:firstLineChars="200"/>
        <w:rPr>
          <w:rFonts w:ascii="宋体" w:hAnsi="宋体" w:cs="宋体"/>
          <w:sz w:val="24"/>
        </w:rPr>
      </w:pPr>
      <w:r>
        <w:rPr>
          <w:rFonts w:hint="eastAsia" w:ascii="宋体" w:hAnsi="宋体" w:cs="宋体"/>
          <w:sz w:val="24"/>
        </w:rPr>
        <w:t>保障中心根据《上海市廉租住房保障家庭复核管理办法》（沪房规范〔2021〕12号）的相关规定，廉租家庭应当在发生重大情况变更后的3个月内，向街道（镇）住房保障机构如实填报《上海市廉租住房保障家庭重大情况变更申报表》。区住房保障事务中心将严格按照相关要求，督促街道（镇）住房保障机构做好每季度一次的重大情况变更申报工作（包含零申报），对廉租对象加强动态跟踪管理，加强对廉租家庭资格复审，并将该项工作列入对街道（镇）住房保障机构的年终工作绩效清单之中。自2022年1月1日起，上海市廉租住房管理信息系统已上线廉租住房申请家庭人员死亡信息查询功能，区住房保障事务中心可以大数据共享及时掌握相关信息规避廉租住房租金补贴多发的风险。</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（三）关于“部分监理报告未及时归档，旧里改造项目档案管理不够及时”问题</w:t>
      </w:r>
    </w:p>
    <w:p>
      <w:pPr>
        <w:spacing w:after="156" w:afterLines="50" w:line="360" w:lineRule="auto"/>
        <w:ind w:firstLine="480" w:firstLineChars="200"/>
        <w:rPr>
          <w:rFonts w:ascii="宋体" w:hAnsi="宋体" w:cs="宋体"/>
          <w:sz w:val="24"/>
        </w:rPr>
      </w:pPr>
      <w:r>
        <w:rPr>
          <w:rFonts w:hint="eastAsia" w:ascii="宋体" w:hAnsi="宋体" w:cs="宋体"/>
          <w:sz w:val="24"/>
        </w:rPr>
        <w:t>城市更新中心针对白鹤镇等旧里改造项目以及朱家角镇东湖街西湖街旧里改造项目总监理报告未及时报送至青浦区房屋管理有限公司进行归档的问题，城市更新中心已责令青浦区房屋管理有限公司整改完毕。今后城市更新中心将严格要求代建单位加强对项目的档案管理，及时督促监理单位按规定及时报送旧里改造项目监理报告，进一步规范项目的档案整理，保障档案归档的完整性。</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（四）关于“廉租住房租金补贴的预算编制依据不够充分”问题</w:t>
      </w:r>
    </w:p>
    <w:p>
      <w:pPr>
        <w:spacing w:after="156" w:afterLines="50" w:line="360" w:lineRule="auto"/>
        <w:ind w:firstLine="480" w:firstLineChars="200"/>
        <w:rPr>
          <w:rFonts w:ascii="宋体" w:hAnsi="宋体" w:cs="宋体"/>
          <w:sz w:val="24"/>
        </w:rPr>
      </w:pPr>
      <w:r>
        <w:rPr>
          <w:rFonts w:hint="eastAsia" w:ascii="宋体" w:hAnsi="宋体" w:cs="宋体"/>
          <w:sz w:val="24"/>
        </w:rPr>
        <w:t>保障中心根据报告建议，对2022年预算做相应调减，并加强对2023年项目预算编制的把控。在预算制定时，在基层做充分调研，汇总各街镇意见以及数据预判，加强数据支撑，结合本市最新政策规定以及历年预算执行情况编制预算，使预算编制更加科学合理。</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0"/>
        <w:spacing w:beforeLines="0" w:afterLines="0" w:line="240" w:lineRule="auto"/>
        <w:ind w:firstLine="420"/>
        <w:rPr>
          <w:sz w:val="21"/>
          <w:szCs w:val="21"/>
        </w:rPr>
      </w:pPr>
      <w:r>
        <w:rPr>
          <w:rStyle w:val="15"/>
          <w:sz w:val="21"/>
          <w:szCs w:val="21"/>
        </w:rPr>
        <w:footnoteRef/>
      </w:r>
      <w:r>
        <w:rPr>
          <w:rFonts w:hint="eastAsia"/>
          <w:sz w:val="21"/>
          <w:szCs w:val="21"/>
        </w:rPr>
        <w:t>旧住房更新改造项目包含2</w:t>
      </w:r>
      <w:r>
        <w:rPr>
          <w:sz w:val="21"/>
          <w:szCs w:val="21"/>
        </w:rPr>
        <w:t>020</w:t>
      </w:r>
      <w:r>
        <w:rPr>
          <w:rFonts w:hint="eastAsia"/>
          <w:sz w:val="21"/>
          <w:szCs w:val="21"/>
        </w:rPr>
        <w:t>年旧里改造项目及完工未结算项目，完工未结算项目包括2012年、2013年、2017年旧住房综合改造项目、2018年至2020年美丽家园项目、2019年旧里改造项目。</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mM1ODlkMDIwZmY4NWY2MTk1Yjk5ZDlhZDAwNTkifQ=="/>
    <w:docVar w:name="KSO_WPS_MARK_KEY" w:val="a106271c-51ac-47a9-b7e3-26727485c6e3"/>
  </w:docVars>
  <w:rsids>
    <w:rsidRoot w:val="00CA335F"/>
    <w:rsid w:val="000736C0"/>
    <w:rsid w:val="00196661"/>
    <w:rsid w:val="00206EAD"/>
    <w:rsid w:val="00287D95"/>
    <w:rsid w:val="00293F86"/>
    <w:rsid w:val="0035001E"/>
    <w:rsid w:val="003C5F38"/>
    <w:rsid w:val="003D40C4"/>
    <w:rsid w:val="004C490A"/>
    <w:rsid w:val="00521514"/>
    <w:rsid w:val="006973A4"/>
    <w:rsid w:val="006A4C52"/>
    <w:rsid w:val="006B0006"/>
    <w:rsid w:val="007B3C1A"/>
    <w:rsid w:val="008D2778"/>
    <w:rsid w:val="00933649"/>
    <w:rsid w:val="009D7520"/>
    <w:rsid w:val="009F3587"/>
    <w:rsid w:val="00B00D8C"/>
    <w:rsid w:val="00C24FB0"/>
    <w:rsid w:val="00C86878"/>
    <w:rsid w:val="00CA335F"/>
    <w:rsid w:val="00D23F24"/>
    <w:rsid w:val="00D24DEF"/>
    <w:rsid w:val="00D84BB8"/>
    <w:rsid w:val="00F262F1"/>
    <w:rsid w:val="00FC19FA"/>
    <w:rsid w:val="00FD2DEA"/>
    <w:rsid w:val="00FF77EB"/>
    <w:rsid w:val="030447ED"/>
    <w:rsid w:val="04820B6B"/>
    <w:rsid w:val="056E4794"/>
    <w:rsid w:val="094B59F1"/>
    <w:rsid w:val="0AC94A31"/>
    <w:rsid w:val="0B4E6285"/>
    <w:rsid w:val="0DC57B70"/>
    <w:rsid w:val="0ED975D2"/>
    <w:rsid w:val="0F851366"/>
    <w:rsid w:val="10263C32"/>
    <w:rsid w:val="10727708"/>
    <w:rsid w:val="11427629"/>
    <w:rsid w:val="133D4D21"/>
    <w:rsid w:val="14345FF8"/>
    <w:rsid w:val="147D3BF2"/>
    <w:rsid w:val="14D96FB7"/>
    <w:rsid w:val="150C68CB"/>
    <w:rsid w:val="152652C9"/>
    <w:rsid w:val="16495944"/>
    <w:rsid w:val="189D4FA6"/>
    <w:rsid w:val="1B330E20"/>
    <w:rsid w:val="1B485E18"/>
    <w:rsid w:val="1C3C5B34"/>
    <w:rsid w:val="1DC52513"/>
    <w:rsid w:val="1F130856"/>
    <w:rsid w:val="2299472A"/>
    <w:rsid w:val="22C647FC"/>
    <w:rsid w:val="231950D4"/>
    <w:rsid w:val="231D5238"/>
    <w:rsid w:val="23A03E43"/>
    <w:rsid w:val="26F2235E"/>
    <w:rsid w:val="27171A53"/>
    <w:rsid w:val="287E3E20"/>
    <w:rsid w:val="29DA3081"/>
    <w:rsid w:val="29EE2862"/>
    <w:rsid w:val="2C07559C"/>
    <w:rsid w:val="2C1B2732"/>
    <w:rsid w:val="2DC56BE5"/>
    <w:rsid w:val="30D31B80"/>
    <w:rsid w:val="31B12944"/>
    <w:rsid w:val="36687A6B"/>
    <w:rsid w:val="379545E5"/>
    <w:rsid w:val="3909775C"/>
    <w:rsid w:val="391231B2"/>
    <w:rsid w:val="39D7006D"/>
    <w:rsid w:val="3A912CDA"/>
    <w:rsid w:val="3D6F7BF9"/>
    <w:rsid w:val="3E533D94"/>
    <w:rsid w:val="3E7B789E"/>
    <w:rsid w:val="3FBE49AE"/>
    <w:rsid w:val="3FCF6CCF"/>
    <w:rsid w:val="41750096"/>
    <w:rsid w:val="43461473"/>
    <w:rsid w:val="46D84A50"/>
    <w:rsid w:val="481A20FA"/>
    <w:rsid w:val="48BF6FF1"/>
    <w:rsid w:val="48C758A8"/>
    <w:rsid w:val="49C302E1"/>
    <w:rsid w:val="49DF3DA6"/>
    <w:rsid w:val="4A0830A1"/>
    <w:rsid w:val="4ABA7D49"/>
    <w:rsid w:val="4E0D3D89"/>
    <w:rsid w:val="4FC2346C"/>
    <w:rsid w:val="51A3262D"/>
    <w:rsid w:val="52DA40DA"/>
    <w:rsid w:val="52E47847"/>
    <w:rsid w:val="53215266"/>
    <w:rsid w:val="536117A2"/>
    <w:rsid w:val="53F57818"/>
    <w:rsid w:val="554144F3"/>
    <w:rsid w:val="55C30032"/>
    <w:rsid w:val="55D4094D"/>
    <w:rsid w:val="55FA7A9F"/>
    <w:rsid w:val="5776668B"/>
    <w:rsid w:val="590774E1"/>
    <w:rsid w:val="5A2822FD"/>
    <w:rsid w:val="5A8A47E2"/>
    <w:rsid w:val="5AA33E68"/>
    <w:rsid w:val="5D1A7927"/>
    <w:rsid w:val="5E700196"/>
    <w:rsid w:val="5E79448F"/>
    <w:rsid w:val="5ECD2B8A"/>
    <w:rsid w:val="611155BC"/>
    <w:rsid w:val="61F56213"/>
    <w:rsid w:val="620A71B7"/>
    <w:rsid w:val="6257032D"/>
    <w:rsid w:val="63CA4E46"/>
    <w:rsid w:val="6412040D"/>
    <w:rsid w:val="64DC7D51"/>
    <w:rsid w:val="65AC59A1"/>
    <w:rsid w:val="673570C4"/>
    <w:rsid w:val="684F79F4"/>
    <w:rsid w:val="68E27CB4"/>
    <w:rsid w:val="69534C6C"/>
    <w:rsid w:val="698D18C8"/>
    <w:rsid w:val="6B2A5D07"/>
    <w:rsid w:val="6CAD3F15"/>
    <w:rsid w:val="6CCF0F7D"/>
    <w:rsid w:val="6D2771AA"/>
    <w:rsid w:val="73C231FD"/>
    <w:rsid w:val="73FD186E"/>
    <w:rsid w:val="751320B2"/>
    <w:rsid w:val="76CA18D7"/>
    <w:rsid w:val="77FD6EC7"/>
    <w:rsid w:val="79985EF1"/>
    <w:rsid w:val="7B2C4056"/>
    <w:rsid w:val="7BC3769B"/>
    <w:rsid w:val="7E663931"/>
    <w:rsid w:val="7FD24C09"/>
    <w:rsid w:val="7FD528A7"/>
    <w:rsid w:val="7FEE1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ind w:firstLine="640"/>
      <w:outlineLvl w:val="0"/>
    </w:pPr>
    <w:rPr>
      <w:rFonts w:eastAsia="黑体"/>
      <w:bCs/>
      <w:kern w:val="44"/>
      <w:sz w:val="32"/>
      <w:szCs w:val="44"/>
    </w:rPr>
  </w:style>
  <w:style w:type="paragraph" w:styleId="4">
    <w:name w:val="heading 2"/>
    <w:basedOn w:val="1"/>
    <w:next w:val="1"/>
    <w:qFormat/>
    <w:uiPriority w:val="0"/>
    <w:pPr>
      <w:keepNext/>
      <w:keepLines/>
      <w:spacing w:line="500" w:lineRule="exact"/>
      <w:ind w:firstLine="200" w:firstLineChars="200"/>
      <w:outlineLvl w:val="1"/>
    </w:pPr>
    <w:rPr>
      <w:rFonts w:ascii="Cambria" w:hAnsi="Cambria" w:eastAsia="仿宋" w:cs="宋体"/>
      <w:b/>
      <w:bCs/>
      <w:sz w:val="28"/>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99"/>
    <w:pPr>
      <w:spacing w:after="120" w:line="480" w:lineRule="auto"/>
    </w:pPr>
  </w:style>
  <w:style w:type="paragraph" w:styleId="5">
    <w:name w:val="Body Text Indent"/>
    <w:basedOn w:val="1"/>
    <w:next w:val="6"/>
    <w:qFormat/>
    <w:uiPriority w:val="99"/>
    <w:pPr>
      <w:spacing w:line="500" w:lineRule="exact"/>
      <w:ind w:firstLine="567"/>
    </w:pPr>
    <w:rPr>
      <w:rFonts w:ascii="宋体"/>
      <w:sz w:val="28"/>
    </w:rPr>
  </w:style>
  <w:style w:type="paragraph" w:styleId="6">
    <w:name w:val="envelope return"/>
    <w:basedOn w:val="1"/>
    <w:qFormat/>
    <w:uiPriority w:val="99"/>
    <w:pPr>
      <w:snapToGrid w:val="0"/>
    </w:pPr>
    <w:rPr>
      <w:rFonts w:ascii="Arial" w:hAnsi="Arial"/>
    </w:rPr>
  </w:style>
  <w:style w:type="paragraph" w:styleId="7">
    <w:name w:val="Balloon Text"/>
    <w:basedOn w:val="1"/>
    <w:link w:val="19"/>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footnote text"/>
    <w:basedOn w:val="1"/>
    <w:unhideWhenUsed/>
    <w:qFormat/>
    <w:uiPriority w:val="0"/>
    <w:pPr>
      <w:snapToGrid w:val="0"/>
      <w:spacing w:beforeLines="50" w:afterLines="50" w:line="360" w:lineRule="auto"/>
      <w:jc w:val="left"/>
    </w:pPr>
    <w:rPr>
      <w:sz w:val="18"/>
      <w:szCs w:val="18"/>
    </w:rPr>
  </w:style>
  <w:style w:type="paragraph" w:styleId="11">
    <w:name w:val="Body Text First Indent 2"/>
    <w:basedOn w:val="5"/>
    <w:qFormat/>
    <w:uiPriority w:val="99"/>
    <w:pPr>
      <w:ind w:firstLine="420" w:firstLineChars="200"/>
    </w:pPr>
  </w:style>
  <w:style w:type="table" w:styleId="13">
    <w:name w:val="Table Grid"/>
    <w:basedOn w:val="1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footnote reference"/>
    <w:unhideWhenUsed/>
    <w:qFormat/>
    <w:uiPriority w:val="0"/>
    <w:rPr>
      <w:vertAlign w:val="superscript"/>
    </w:rPr>
  </w:style>
  <w:style w:type="character" w:customStyle="1" w:styleId="16">
    <w:name w:val="页眉 Char"/>
    <w:basedOn w:val="14"/>
    <w:link w:val="9"/>
    <w:qFormat/>
    <w:uiPriority w:val="99"/>
    <w:rPr>
      <w:sz w:val="18"/>
      <w:szCs w:val="18"/>
    </w:rPr>
  </w:style>
  <w:style w:type="character" w:customStyle="1" w:styleId="17">
    <w:name w:val="页脚 Char"/>
    <w:basedOn w:val="14"/>
    <w:link w:val="8"/>
    <w:qFormat/>
    <w:uiPriority w:val="99"/>
    <w:rPr>
      <w:sz w:val="18"/>
      <w:szCs w:val="18"/>
    </w:rPr>
  </w:style>
  <w:style w:type="paragraph" w:customStyle="1" w:styleId="18">
    <w:name w:val="正文二"/>
    <w:basedOn w:val="1"/>
    <w:qFormat/>
    <w:uiPriority w:val="0"/>
    <w:pPr>
      <w:ind w:firstLine="200" w:firstLineChars="200"/>
    </w:pPr>
    <w:rPr>
      <w:rFonts w:ascii="宋体" w:hAnsi="宋体" w:eastAsia="仿宋_GB2312"/>
      <w:sz w:val="28"/>
      <w:szCs w:val="30"/>
    </w:rPr>
  </w:style>
  <w:style w:type="character" w:customStyle="1" w:styleId="19">
    <w:name w:val="批注框文本 Char"/>
    <w:basedOn w:val="14"/>
    <w:link w:val="7"/>
    <w:semiHidden/>
    <w:qFormat/>
    <w:uiPriority w:val="99"/>
    <w:rPr>
      <w:rFonts w:ascii="Times New Roman" w:hAnsi="Times New Roman" w:eastAsia="宋体" w:cs="Times New Roman"/>
      <w:kern w:val="2"/>
      <w:sz w:val="18"/>
      <w:szCs w:val="18"/>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3834</Words>
  <Characters>4090</Characters>
  <Lines>29</Lines>
  <Paragraphs>8</Paragraphs>
  <TotalTime>0</TotalTime>
  <ScaleCrop>false</ScaleCrop>
  <LinksUpToDate>false</LinksUpToDate>
  <CharactersWithSpaces>4090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2022-09-13T08:21:00Z</dcterms:created>
  <dc:creator>Administrator</dc:creator>
  <cp:lastModifiedBy>zhuyh</cp:lastModifiedBy>
  <cp:lastPrinted>2022-09-14T06:15:00Z</cp:lastPrinted>
  <dcterms:modified xsi:type="dcterms:W3CDTF">2022-11-06T07:45:12Z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5BF0A7400EB24E44AE1E5E0B19F3EAE1</vt:lpwstr>
  </property>
</Properties>
</file>