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56" w:afterLines="50" w:line="360" w:lineRule="auto"/>
        <w:jc w:val="center"/>
        <w:outlineLvl w:val="0"/>
        <w:rPr>
          <w:rFonts w:hint="eastAsia" w:ascii="宋体" w:hAnsi="宋体" w:eastAsia="宋体" w:cs="宋体"/>
          <w:b/>
          <w:bCs/>
          <w:sz w:val="44"/>
          <w:szCs w:val="44"/>
          <w:lang w:eastAsia="zh-CN"/>
        </w:rPr>
      </w:pPr>
      <w:bookmarkStart w:id="0" w:name="_Toc21849"/>
      <w:bookmarkStart w:id="1" w:name="_Toc19913"/>
      <w:bookmarkStart w:id="2" w:name="_Toc31532"/>
      <w:bookmarkStart w:id="3" w:name="_Toc28112"/>
      <w:r>
        <w:rPr>
          <w:rFonts w:hint="eastAsia" w:ascii="宋体" w:hAnsi="宋体" w:eastAsia="宋体" w:cs="宋体"/>
          <w:b/>
          <w:bCs/>
          <w:sz w:val="44"/>
          <w:szCs w:val="44"/>
          <w:lang w:val="en-US" w:eastAsia="zh-CN"/>
        </w:rPr>
        <w:t>2021年青浦区政务服务办公室部门整体</w:t>
      </w:r>
      <w:r>
        <w:rPr>
          <w:rFonts w:hint="eastAsia" w:ascii="宋体" w:hAnsi="宋体" w:eastAsia="宋体" w:cs="宋体"/>
          <w:b/>
          <w:bCs/>
          <w:sz w:val="44"/>
          <w:szCs w:val="44"/>
          <w:lang w:val="en-US" w:eastAsia="zh-CN"/>
        </w:rPr>
        <w:br w:type="textWrapping"/>
      </w:r>
      <w:r>
        <w:rPr>
          <w:rFonts w:hint="eastAsia" w:ascii="宋体" w:hAnsi="宋体" w:eastAsia="宋体" w:cs="宋体"/>
          <w:b/>
          <w:bCs/>
          <w:sz w:val="44"/>
          <w:szCs w:val="44"/>
          <w:lang w:val="en-US" w:eastAsia="zh-CN"/>
        </w:rPr>
        <w:t>支出绩效评价结果信息公开</w:t>
      </w:r>
    </w:p>
    <w:p>
      <w:pPr>
        <w:spacing w:after="156" w:afterLines="50" w:line="360" w:lineRule="auto"/>
        <w:ind w:firstLine="480" w:firstLineChars="200"/>
        <w:outlineLvl w:val="0"/>
        <w:rPr>
          <w:rFonts w:hint="eastAsia" w:ascii="宋体" w:hAnsi="宋体" w:eastAsia="宋体" w:cs="宋体"/>
          <w:lang w:eastAsia="zh-CN"/>
        </w:rPr>
      </w:pPr>
      <w:r>
        <w:rPr>
          <w:rFonts w:hint="eastAsia" w:ascii="宋体" w:hAnsi="宋体" w:eastAsia="宋体" w:cs="宋体"/>
          <w:lang w:eastAsia="zh-CN"/>
        </w:rPr>
        <w:t>为加强财政支出管理，强化支出责任，提高财政资金使用绩效，根据区委区政府《关于我区全面实施预算绩效管理的实施意见》（青委〔2019〕245号）文件精神，2022年，青浦区财政局组织对2021年青浦区政务服务办公室部门整体支出实施绩效评价，并委托上海祁骋商务咨询有限公司</w:t>
      </w:r>
      <w:r>
        <w:rPr>
          <w:rFonts w:hint="eastAsia" w:ascii="宋体" w:hAnsi="宋体" w:eastAsia="宋体" w:cs="宋体"/>
          <w:lang w:val="en-US" w:eastAsia="zh-CN"/>
        </w:rPr>
        <w:t>具体</w:t>
      </w:r>
      <w:r>
        <w:rPr>
          <w:rFonts w:hint="eastAsia" w:ascii="宋体" w:hAnsi="宋体" w:eastAsia="宋体" w:cs="宋体"/>
          <w:lang w:eastAsia="zh-CN"/>
        </w:rPr>
        <w:t>实施。</w:t>
      </w:r>
      <w:r>
        <w:rPr>
          <w:rFonts w:hint="eastAsia" w:ascii="宋体" w:hAnsi="宋体" w:eastAsia="宋体" w:cs="宋体"/>
          <w:lang w:val="en-US" w:eastAsia="zh-CN"/>
        </w:rPr>
        <w:t>区政务办</w:t>
      </w:r>
      <w:r>
        <w:rPr>
          <w:rFonts w:hint="eastAsia" w:ascii="宋体" w:hAnsi="宋体" w:eastAsia="宋体" w:cs="宋体"/>
          <w:lang w:eastAsia="zh-CN"/>
        </w:rPr>
        <w:t>和</w:t>
      </w:r>
      <w:r>
        <w:rPr>
          <w:rFonts w:hint="eastAsia" w:ascii="宋体" w:hAnsi="宋体" w:eastAsia="宋体" w:cs="宋体"/>
          <w:lang w:val="en-US" w:eastAsia="zh-CN"/>
        </w:rPr>
        <w:t>区</w:t>
      </w:r>
      <w:r>
        <w:rPr>
          <w:rFonts w:hint="eastAsia" w:ascii="宋体" w:hAnsi="宋体" w:eastAsia="宋体" w:cs="宋体"/>
          <w:lang w:eastAsia="zh-CN"/>
        </w:rPr>
        <w:t>财政局围绕预算管理、项目管理及财政内部管理等进行绩效评价结果落实应用。</w:t>
      </w:r>
      <w:bookmarkStart w:id="26" w:name="_GoBack"/>
      <w:bookmarkEnd w:id="26"/>
    </w:p>
    <w:p>
      <w:pPr>
        <w:spacing w:after="156" w:afterLines="50" w:line="360" w:lineRule="auto"/>
        <w:ind w:firstLine="480" w:firstLineChars="200"/>
        <w:outlineLvl w:val="0"/>
        <w:rPr>
          <w:rFonts w:ascii="宋体" w:hAnsi="宋体" w:eastAsia="宋体" w:cs="宋体"/>
          <w:lang w:eastAsia="zh-CN"/>
        </w:rPr>
      </w:pPr>
      <w:r>
        <w:rPr>
          <w:rFonts w:hint="eastAsia" w:ascii="宋体" w:hAnsi="宋体" w:eastAsia="宋体" w:cs="宋体"/>
          <w:lang w:eastAsia="zh-CN"/>
        </w:rPr>
        <w:t>一、部门概述</w:t>
      </w:r>
      <w:bookmarkEnd w:id="0"/>
      <w:bookmarkEnd w:id="1"/>
      <w:bookmarkEnd w:id="2"/>
      <w:bookmarkEnd w:id="3"/>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青浦区政务办作为主管全区政务服务的正处级区政府工作部门，于2019年3月青浦区机构改革时，将区编委办的行政审批制度改革和政府效能建设有关职责、区政府办和区科委的“互联网+政务服务”和政务数据管理职责进行归集，从而正式成立，在业务方面与市政府办公厅审改处、政务服务处、数据发展办进行对接。同时，区行政服务中心调整为区政务办下属正处级全额拨款的公益一类事业单位，重点负责政务服务的落实执行，并新增青浦区政府门户网站的日常维护和运行管理职能，加挂青浦区大数据中心牌子，承担全区业务部门数据的治理赋能职责。</w:t>
      </w:r>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根据三定方案、市级对应条线部门及工作计划等内容，区政务办主要职能包含行政审批制度改革、政务服务、数据发展、改革保障等4类。主要内容在于协调、监督区教育局、区农业农村委等区内职能部门进行权责清单梳理、事项清理等基础内容的推进、落实，推动事项在申请材料、审批程序等业务流程方面的重塑；对区内政务服务网络进行标准化建设指导，强化企业服务集成功能；推进公共数据采集、归集、整合、共享、开放、应用，落实政府门户网站、一网通办区级频道、随申办移动端等平台应用的能力提升，并依法依规组织开展评估检查。</w:t>
      </w:r>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2021年区政务办年初预算金额为4479.95万元，调整后预算为7195.08万元，预算调整率为60.61%，主要原因为基本支出中人员经费因人员逐步落实（2020年10月新增7人未能及时纳入2021年预算；2021年中新增5人）、项目支出中信息化项目年初未安排预算，于年中审核批复后新增。截至2021年12月31日，实际执行6562.40万元，预算执行率为91.21%，主要原因为预算调整时考虑范围不全面，继而部分预算未执行。</w:t>
      </w:r>
    </w:p>
    <w:p>
      <w:pPr>
        <w:spacing w:after="156" w:afterLines="50" w:line="360" w:lineRule="auto"/>
        <w:ind w:firstLine="480" w:firstLineChars="200"/>
        <w:outlineLvl w:val="0"/>
        <w:rPr>
          <w:rFonts w:ascii="宋体" w:hAnsi="宋体" w:eastAsia="宋体" w:cs="宋体"/>
          <w:lang w:eastAsia="zh-CN"/>
        </w:rPr>
      </w:pPr>
      <w:bookmarkStart w:id="4" w:name="_Toc2076"/>
      <w:bookmarkStart w:id="5" w:name="_Toc1341"/>
      <w:bookmarkStart w:id="6" w:name="_Toc30772"/>
      <w:bookmarkStart w:id="7" w:name="_Toc13165"/>
      <w:r>
        <w:rPr>
          <w:rFonts w:hint="eastAsia" w:ascii="宋体" w:hAnsi="宋体" w:eastAsia="宋体" w:cs="宋体"/>
          <w:lang w:eastAsia="zh-CN"/>
        </w:rPr>
        <w:t>二、评价结论</w:t>
      </w:r>
      <w:bookmarkEnd w:id="4"/>
      <w:bookmarkEnd w:id="5"/>
      <w:bookmarkEnd w:id="6"/>
      <w:r>
        <w:rPr>
          <w:rFonts w:hint="eastAsia" w:ascii="宋体" w:hAnsi="宋体" w:eastAsia="宋体" w:cs="宋体"/>
          <w:lang w:eastAsia="zh-CN"/>
        </w:rPr>
        <w:t>和主要绩效</w:t>
      </w:r>
      <w:bookmarkEnd w:id="7"/>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2021年青浦区政务服务办公室部门整体支出得分为87.94分，评价等级为“良”。</w:t>
      </w:r>
    </w:p>
    <w:p>
      <w:pPr>
        <w:spacing w:after="156" w:afterLines="50" w:line="360" w:lineRule="auto"/>
        <w:ind w:firstLine="480" w:firstLineChars="200"/>
        <w:outlineLvl w:val="1"/>
        <w:rPr>
          <w:rFonts w:ascii="宋体" w:hAnsi="宋体" w:eastAsia="宋体" w:cs="宋体"/>
          <w:lang w:eastAsia="zh-CN"/>
        </w:rPr>
      </w:pPr>
      <w:bookmarkStart w:id="8" w:name="_Toc24282"/>
      <w:r>
        <w:rPr>
          <w:rFonts w:hint="eastAsia" w:ascii="宋体" w:hAnsi="宋体" w:eastAsia="宋体" w:cs="宋体"/>
          <w:lang w:eastAsia="zh-CN"/>
        </w:rPr>
        <w:t>（一）部门决策方面</w:t>
      </w:r>
      <w:bookmarkEnd w:id="8"/>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满分7分，得分6分，得分率85.71%。区政务办能够按照三定方案职能进行落实，并依据上级指示，结合区级实际，编制年度工作计划进行挂图作战，但在中长期规划编制及人员针对科室三定职责履职的支撑度存在一定欠缺。</w:t>
      </w:r>
    </w:p>
    <w:p>
      <w:pPr>
        <w:spacing w:after="156" w:afterLines="50" w:line="360" w:lineRule="auto"/>
        <w:ind w:firstLine="480" w:firstLineChars="200"/>
        <w:rPr>
          <w:rFonts w:ascii="宋体" w:hAnsi="宋体" w:eastAsia="宋体" w:cs="宋体"/>
          <w:lang w:eastAsia="zh-CN"/>
        </w:rPr>
      </w:pPr>
      <w:bookmarkStart w:id="9" w:name="_Toc9162"/>
      <w:r>
        <w:rPr>
          <w:rFonts w:hint="eastAsia" w:ascii="宋体" w:hAnsi="宋体" w:eastAsia="宋体" w:cs="宋体"/>
          <w:lang w:eastAsia="zh-CN"/>
        </w:rPr>
        <w:t>（二）部门管理方面</w:t>
      </w:r>
      <w:bookmarkEnd w:id="9"/>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满分29.5分，得分22.78分，得分率77.22%。区政务办能够做到按照部门制定的内部控制规范流程进行管理，但在管理流程中仍有部分细分内容需进一步完善。预算管理方面，项目分类合理性以及支出调整全面性仍有提升空间，结转项目资金上缴不及时，非税收入收费依据不充分，绩效目标质量不高。内部管理方面，合同约定及执行有效性略有不足，在成本控制方面需加强规范管理。</w:t>
      </w:r>
    </w:p>
    <w:p>
      <w:pPr>
        <w:spacing w:after="156" w:afterLines="50" w:line="360" w:lineRule="auto"/>
        <w:ind w:firstLine="480" w:firstLineChars="200"/>
        <w:rPr>
          <w:rFonts w:ascii="宋体" w:hAnsi="宋体" w:eastAsia="宋体" w:cs="宋体"/>
          <w:lang w:eastAsia="zh-CN"/>
        </w:rPr>
      </w:pPr>
      <w:bookmarkStart w:id="10" w:name="_Toc30403"/>
      <w:r>
        <w:rPr>
          <w:rFonts w:hint="eastAsia" w:ascii="宋体" w:hAnsi="宋体" w:eastAsia="宋体" w:cs="宋体"/>
          <w:lang w:eastAsia="zh-CN"/>
        </w:rPr>
        <w:t>（三）部门绩效方面</w:t>
      </w:r>
      <w:bookmarkEnd w:id="10"/>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满分63.5分，得分59.16分，得分率93.17%。2021年区政务办根据区级实际贯彻落实市“一网通办”等工作统一安排部署，在财政预算资金的有力保障下，全年28项工作计划完成情况良好。</w:t>
      </w:r>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行政审批制度改革：2021年区政务办通过一系列的业务流程改造工作，已完成100项“零跑动”事项的梳理新增；对市级“一件事”实施落地，区级“一件事”梳理新增，累计共上线补领婚姻登记证、企业申请区级扶持资金等19个“一件事”；按照全市统一的“一业一证”改革行业目录（25个试点行业），共涉及12个区级部门的28个事项，完成全面改革，并与区市场监管局对接，将改革延伸至全区13个市场监管所；按照全覆盖要求，对涉企经营许可事项开展梳理形成区级“证照分离”事项清单。但对标外省，青浦区在即办程度上仍存在一定差距，仍需进一步加强审改力度。</w:t>
      </w:r>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政务服务：2021年区政务办致力优化中心大厅建设的同时，对标政务服务中心规范，逐级建设“区-街镇-村”等三级政务服务网络。全区全年共收到评价1169124条，办件评价率100%，好评率99.985%。其中中心综合窗口实现零差评、零投诉，各进驻部门收到“12345”表扬1次、表扬信60封、锦旗36面、区级荣誉17项、市级荣誉11项，一级政务服务网络水平得到广大认可。在推动长三角一体化方面，青浦区启动示范区“跨省通办”综合受理服务窗口，通办事项数量全国最多（含青浦1173项、吴江1398项、嘉善1306项）。线上开设示范区专栏，接入企业服务事项情形299个、个人服务事项情形137个。为尽快推进该类事项实现跨省通办，青浦区于综合受理窗口，开通三地综窗系统授权，可异地登录吴江、嘉善账号，按其标准收集材料进行受理，即采用属地管理的概念实现跨省通办。</w:t>
      </w:r>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数据发展：2021年青浦区率先跟随市大数据中心脚步，制定了区内公共数据运营管理办法，通过项目的形式，面向区内一网通办、一网统管及各类主题和专题业务分析内容，提供数据治理运营服务。截至年底，累计为16家单位提供数据共享赋能服务。随申办、一网通办青浦区子频道等平台应用的提升，有效促进实际办件网办比例逐年提升，“好差评”办件覆盖率提升至93.72%，但在将移动端从“能用”转变为“好用”“常用”方面还需进一步推进。</w:t>
      </w:r>
    </w:p>
    <w:p>
      <w:pPr>
        <w:spacing w:after="156" w:afterLines="50" w:line="360" w:lineRule="auto"/>
        <w:ind w:firstLine="480" w:firstLineChars="200"/>
        <w:outlineLvl w:val="0"/>
        <w:rPr>
          <w:rFonts w:ascii="宋体" w:hAnsi="宋体" w:eastAsia="宋体" w:cs="宋体"/>
          <w:lang w:eastAsia="zh-CN"/>
        </w:rPr>
      </w:pPr>
      <w:bookmarkStart w:id="11" w:name="_Toc19808"/>
      <w:bookmarkStart w:id="12" w:name="_Toc11461"/>
      <w:bookmarkStart w:id="13" w:name="_Toc29225"/>
      <w:bookmarkStart w:id="14" w:name="_Toc2393"/>
      <w:r>
        <w:rPr>
          <w:rFonts w:hint="eastAsia" w:ascii="宋体" w:hAnsi="宋体" w:eastAsia="宋体" w:cs="宋体"/>
          <w:lang w:eastAsia="zh-CN"/>
        </w:rPr>
        <w:t>三、存在问题</w:t>
      </w:r>
      <w:bookmarkEnd w:id="11"/>
      <w:bookmarkEnd w:id="12"/>
      <w:r>
        <w:rPr>
          <w:rFonts w:hint="eastAsia" w:ascii="宋体" w:hAnsi="宋体" w:eastAsia="宋体" w:cs="宋体"/>
          <w:lang w:eastAsia="zh-CN"/>
        </w:rPr>
        <w:t>及建议</w:t>
      </w:r>
      <w:bookmarkEnd w:id="13"/>
      <w:bookmarkEnd w:id="14"/>
    </w:p>
    <w:p>
      <w:pPr>
        <w:spacing w:after="156" w:afterLines="50" w:line="360" w:lineRule="auto"/>
        <w:ind w:firstLine="480" w:firstLineChars="200"/>
        <w:outlineLvl w:val="1"/>
        <w:rPr>
          <w:rFonts w:ascii="宋体" w:hAnsi="宋体" w:eastAsia="宋体" w:cs="宋体"/>
          <w:lang w:eastAsia="zh-CN"/>
        </w:rPr>
      </w:pPr>
      <w:bookmarkStart w:id="15" w:name="_Toc22006"/>
      <w:bookmarkStart w:id="16" w:name="_Toc3564"/>
      <w:r>
        <w:rPr>
          <w:rFonts w:hint="eastAsia" w:ascii="宋体" w:hAnsi="宋体" w:eastAsia="宋体" w:cs="宋体"/>
          <w:lang w:eastAsia="zh-CN"/>
        </w:rPr>
        <w:t>（一）存在的问题</w:t>
      </w:r>
      <w:bookmarkEnd w:id="15"/>
      <w:bookmarkEnd w:id="16"/>
    </w:p>
    <w:p>
      <w:pPr>
        <w:spacing w:after="156" w:afterLines="50" w:line="360" w:lineRule="auto"/>
        <w:ind w:firstLine="480" w:firstLineChars="200"/>
        <w:outlineLvl w:val="2"/>
        <w:rPr>
          <w:rFonts w:ascii="宋体" w:hAnsi="宋体" w:eastAsia="宋体" w:cs="宋体"/>
          <w:lang w:eastAsia="zh-CN"/>
        </w:rPr>
      </w:pPr>
      <w:r>
        <w:rPr>
          <w:rFonts w:hint="eastAsia" w:ascii="宋体" w:hAnsi="宋体" w:eastAsia="宋体" w:cs="宋体"/>
          <w:lang w:eastAsia="zh-CN"/>
        </w:rPr>
        <w:t>1.战略决策方面</w:t>
      </w:r>
    </w:p>
    <w:p>
      <w:pPr>
        <w:spacing w:after="156" w:afterLines="50" w:line="360" w:lineRule="auto"/>
        <w:ind w:firstLine="480" w:firstLineChars="200"/>
        <w:outlineLvl w:val="3"/>
        <w:rPr>
          <w:rFonts w:ascii="宋体" w:hAnsi="宋体" w:eastAsia="宋体" w:cs="宋体"/>
          <w:lang w:eastAsia="zh-CN"/>
        </w:rPr>
      </w:pPr>
      <w:r>
        <w:rPr>
          <w:rFonts w:hint="eastAsia" w:ascii="宋体" w:hAnsi="宋体" w:eastAsia="宋体" w:cs="宋体"/>
          <w:lang w:eastAsia="zh-CN"/>
        </w:rPr>
        <w:t>缺少细化成文的中长期规划，科室职能支撑度有待完善</w:t>
      </w:r>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截至2021年12月31日，区政务办对年度工作计划均有细致编制，进行挂图作战，但部门本身未对中长期目标及规划进行汇总成文；互联网政务资源科自2020年起才开始逐步做实，于2021年年中完成科室编制人员落实工作，主要工作内容为宣传、培训活动的组织开展。并与行政审批制度改革科和中心相关科室协作配合完成“一网通办”工作发展规划和公共数据管理规划方面的职责，主体牵头实施职责的分解落实还有待进一步完善。</w:t>
      </w:r>
    </w:p>
    <w:p>
      <w:pPr>
        <w:spacing w:after="156" w:afterLines="50" w:line="360" w:lineRule="auto"/>
        <w:ind w:firstLine="480" w:firstLineChars="200"/>
        <w:outlineLvl w:val="2"/>
        <w:rPr>
          <w:rFonts w:ascii="宋体" w:hAnsi="宋体" w:eastAsia="宋体" w:cs="宋体"/>
          <w:lang w:eastAsia="zh-CN"/>
        </w:rPr>
      </w:pPr>
      <w:r>
        <w:rPr>
          <w:rFonts w:hint="eastAsia" w:ascii="宋体" w:hAnsi="宋体" w:eastAsia="宋体" w:cs="宋体"/>
          <w:lang w:eastAsia="zh-CN"/>
        </w:rPr>
        <w:t>2.预算管理方面</w:t>
      </w:r>
    </w:p>
    <w:p>
      <w:pPr>
        <w:spacing w:after="156" w:afterLines="50" w:line="360" w:lineRule="auto"/>
        <w:ind w:firstLine="480" w:firstLineChars="200"/>
        <w:outlineLvl w:val="3"/>
        <w:rPr>
          <w:rFonts w:ascii="宋体" w:hAnsi="宋体" w:eastAsia="宋体" w:cs="宋体"/>
          <w:lang w:eastAsia="zh-CN"/>
        </w:rPr>
      </w:pPr>
      <w:r>
        <w:rPr>
          <w:rFonts w:hint="eastAsia" w:ascii="宋体" w:hAnsi="宋体" w:eastAsia="宋体" w:cs="宋体"/>
          <w:lang w:eastAsia="zh-CN"/>
        </w:rPr>
        <w:t>（1）项目支出调整不全面，分类合并规范合理性不充分</w:t>
      </w:r>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2021年度区政务办在调整项目预算时，未能对合同约定中含有分段支付或按照考核结果进行结算的项目调减部分服务费（公共数据运营服务，涉及未执行金额118.06万元）；以政府采购限额安排预算的项目也未能及时根据实际合同金额进行调整（综合受理窗口等人员经费，涉及未执行金额15.60万元），调整考虑范围不够全面。</w:t>
      </w:r>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评价组通过对项目一级、二级、三级明细内容进行梳理发现，存在区政务办本部、区行政服务中心下设一级项目名目重复；二级项目划分边界不够清晰；二、三级明细内容归集存在优化合并空间等问题。</w:t>
      </w:r>
    </w:p>
    <w:p>
      <w:pPr>
        <w:spacing w:after="156" w:afterLines="50" w:line="360" w:lineRule="auto"/>
        <w:ind w:firstLine="480" w:firstLineChars="200"/>
        <w:outlineLvl w:val="3"/>
        <w:rPr>
          <w:rFonts w:ascii="宋体" w:hAnsi="宋体" w:eastAsia="宋体" w:cs="宋体"/>
          <w:lang w:eastAsia="zh-CN"/>
        </w:rPr>
      </w:pPr>
      <w:r>
        <w:rPr>
          <w:rFonts w:hint="eastAsia" w:ascii="宋体" w:hAnsi="宋体" w:eastAsia="宋体" w:cs="宋体"/>
          <w:lang w:eastAsia="zh-CN"/>
        </w:rPr>
        <w:t>（2）结转项目存在历史遗留问题，部门非税收入收费依据充分性不足</w:t>
      </w:r>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政府购买服务-会议室改造费-智能电教室于2019年即为结转项目，截至2021年12月31日仍未执行，虽于2021年中进行调减，但结转未执行时间已逾2年，结余资金上缴及时性略有不足；此外，还存在采用暂存款剩余资金安排结转项目的情况，例如工作人员服装采购经费2020年底全部预算已执行完毕，但2021年仍作为结转项目，年初预算为18.88万元。</w:t>
      </w:r>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区政务办所涉非税收入（复印费）的征收主要是因为无偿复印时，存在很多人带无关资料进行复印的现象，经商讨后进行象征性收费，3张以内免费，超过则一张0.2元，并进行了收费许可证的办理，因后来发改委不进行该证办理，且根据沪财税〔2021〕43号文所示行政事业性收费目录清单以及青浦区发布的青财预〔2022〕4号文，未有涉及区政务办复印费相关收费内容，收费依据充分性不足。</w:t>
      </w:r>
    </w:p>
    <w:p>
      <w:pPr>
        <w:spacing w:after="156" w:afterLines="50" w:line="360" w:lineRule="auto"/>
        <w:ind w:firstLine="480" w:firstLineChars="200"/>
        <w:outlineLvl w:val="3"/>
        <w:rPr>
          <w:rFonts w:ascii="宋体" w:hAnsi="宋体" w:eastAsia="宋体" w:cs="宋体"/>
          <w:lang w:eastAsia="zh-CN"/>
        </w:rPr>
      </w:pPr>
      <w:r>
        <w:rPr>
          <w:rFonts w:hint="eastAsia" w:ascii="宋体" w:hAnsi="宋体" w:eastAsia="宋体" w:cs="宋体"/>
          <w:lang w:eastAsia="zh-CN"/>
        </w:rPr>
        <w:t>（3）绩效目标编制质量存在欠缺，辅导结果应用度略有不足</w:t>
      </w:r>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经评价组对单位所提供的部分电子留底档案及系统导出的绩效目标进行梳理发现，绩效目标编制的质量存在欠缺，多个项目未进行时效指标的设置，个别项目中数量指标设为计划完成率，质量指标为合格率，未能显现个性化项目内容；部分项目虽经第三方辅导评价完善绩效目标，但在系统申报录入时，未能按照电子文档录入，结果应用度略有不足。</w:t>
      </w:r>
    </w:p>
    <w:p>
      <w:pPr>
        <w:spacing w:after="156" w:afterLines="50" w:line="360" w:lineRule="auto"/>
        <w:ind w:firstLine="480" w:firstLineChars="200"/>
        <w:outlineLvl w:val="2"/>
        <w:rPr>
          <w:rFonts w:ascii="宋体" w:hAnsi="宋体" w:eastAsia="宋体" w:cs="宋体"/>
          <w:lang w:eastAsia="zh-CN"/>
        </w:rPr>
      </w:pPr>
      <w:r>
        <w:rPr>
          <w:rFonts w:hint="eastAsia" w:ascii="宋体" w:hAnsi="宋体" w:eastAsia="宋体" w:cs="宋体"/>
          <w:lang w:eastAsia="zh-CN"/>
        </w:rPr>
        <w:t>3.内部管理方面</w:t>
      </w:r>
    </w:p>
    <w:p>
      <w:pPr>
        <w:spacing w:after="156" w:afterLines="50" w:line="360" w:lineRule="auto"/>
        <w:ind w:firstLine="480" w:firstLineChars="200"/>
        <w:outlineLvl w:val="3"/>
        <w:rPr>
          <w:rFonts w:ascii="宋体" w:hAnsi="宋体" w:eastAsia="宋体" w:cs="宋体"/>
          <w:lang w:eastAsia="zh-CN"/>
        </w:rPr>
      </w:pPr>
      <w:r>
        <w:rPr>
          <w:rFonts w:hint="eastAsia" w:ascii="宋体" w:hAnsi="宋体" w:eastAsia="宋体" w:cs="宋体"/>
          <w:lang w:eastAsia="zh-CN"/>
        </w:rPr>
        <w:t>（1）政府采购成本控制存在欠缺，合同约定合理性略有不足</w:t>
      </w:r>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经评价组梳理发现，青浦区政务服务办公室信息系统整合项目经科委批复有咨询管理费和财务监理费，实际未执行，依照青浦区严格财政投资项目监管的原则，需对该项目委托财务监理进行结算审核，成本控制有效性不足；评价组抽选了14项采购项目的档案进行梳理，部分合同（7项）尾款验收支付时间设置先于服务完成期限；部分合同（2项）签约日期晚于服务开始日期，合同约定合理性略有不足。</w:t>
      </w:r>
    </w:p>
    <w:p>
      <w:pPr>
        <w:spacing w:after="156" w:afterLines="50" w:line="360" w:lineRule="auto"/>
        <w:ind w:firstLine="480" w:firstLineChars="200"/>
        <w:outlineLvl w:val="3"/>
        <w:rPr>
          <w:rFonts w:ascii="宋体" w:hAnsi="宋体" w:eastAsia="宋体" w:cs="宋体"/>
          <w:lang w:eastAsia="zh-CN"/>
        </w:rPr>
      </w:pPr>
      <w:r>
        <w:rPr>
          <w:rFonts w:hint="eastAsia" w:ascii="宋体" w:hAnsi="宋体" w:eastAsia="宋体" w:cs="宋体"/>
          <w:lang w:eastAsia="zh-CN"/>
        </w:rPr>
        <w:t>（2）固定资产账面与实际使用情况不符，资产卡片信息更新不及时</w:t>
      </w:r>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截至2021年12月31日，根据资产卡片数据，区政务办固定资产共计3047项，其中自用2722项，闲置325项。无形资产共计40项，其中自用39项，闲置1项。经评价组对闲置固定资产中的10%（33项）以及无形资产进行抽查，发现实际均在使用，未有闲置，系未能及时更新账面使用情况。</w:t>
      </w:r>
    </w:p>
    <w:p>
      <w:pPr>
        <w:spacing w:after="156" w:afterLines="50" w:line="360" w:lineRule="auto"/>
        <w:ind w:firstLine="480" w:firstLineChars="200"/>
        <w:outlineLvl w:val="2"/>
        <w:rPr>
          <w:rFonts w:ascii="宋体" w:hAnsi="宋体" w:eastAsia="宋体" w:cs="宋体"/>
          <w:lang w:eastAsia="zh-CN"/>
        </w:rPr>
      </w:pPr>
      <w:r>
        <w:rPr>
          <w:rFonts w:hint="eastAsia" w:ascii="宋体" w:hAnsi="宋体" w:eastAsia="宋体" w:cs="宋体"/>
          <w:lang w:eastAsia="zh-CN"/>
        </w:rPr>
        <w:t>4.绩效方面</w:t>
      </w:r>
    </w:p>
    <w:p>
      <w:pPr>
        <w:spacing w:after="156" w:afterLines="50" w:line="360" w:lineRule="auto"/>
        <w:ind w:firstLine="480" w:firstLineChars="200"/>
        <w:outlineLvl w:val="3"/>
        <w:rPr>
          <w:rFonts w:ascii="宋体" w:hAnsi="宋体" w:eastAsia="宋体" w:cs="宋体"/>
          <w:lang w:eastAsia="zh-CN"/>
        </w:rPr>
      </w:pPr>
      <w:r>
        <w:rPr>
          <w:rFonts w:hint="eastAsia" w:ascii="宋体" w:hAnsi="宋体" w:eastAsia="宋体" w:cs="宋体"/>
          <w:lang w:eastAsia="zh-CN"/>
        </w:rPr>
        <w:t>（1）审改推进成效有待进一步提升，实际服务能力匹配度有所欠缺</w:t>
      </w:r>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2021年10月杭州减时间比例、平均跑动次数、即办程度统计数据分别为91%、0.05、74%，同期青浦区数据为80.49%、0.11、48.82%，截至2021年底，青浦区对应数据为87.04%、0.03、59.65%，与10月成效相比提升幅度较为明显，但在即办程度上仍有一定提升空间。此外，在实际办件中，根据2021年市“一网通办”评估报告对各部门即办件办件量居前10的事项进行抽查，青浦区实际办件在当天完成的办件比例（即办能力），于全市各区中处于中等偏下水平。根据综合窗口人员的问卷调查结果显示，部分事项办事指南里写的是综合窗口的地址，但业务尚且不在综合窗口。</w:t>
      </w:r>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改革举措与实际落实的匹配度存在欠缺的主要原因有，部分改革配套制度制定有后置性（例如“证照分离”改革中食物经营许可由审批改为备案，但具体的备案方案和流程11月才开始试点，改革举措有延迟性）、条线部门属地化管理要求与“一窗受理”存在矛盾（例如街道的学区划片、转学等工作由区教育局基教科完成，但镇则由属地镇政府完成，无法实现一窗交件、一窗领件）等等。</w:t>
      </w:r>
    </w:p>
    <w:p>
      <w:pPr>
        <w:spacing w:after="156" w:afterLines="50" w:line="360" w:lineRule="auto"/>
        <w:ind w:firstLine="480" w:firstLineChars="200"/>
        <w:outlineLvl w:val="3"/>
        <w:rPr>
          <w:rFonts w:ascii="宋体" w:hAnsi="宋体" w:eastAsia="宋体" w:cs="宋体"/>
          <w:lang w:eastAsia="zh-CN"/>
        </w:rPr>
      </w:pPr>
      <w:r>
        <w:rPr>
          <w:rFonts w:hint="eastAsia" w:ascii="宋体" w:hAnsi="宋体" w:eastAsia="宋体" w:cs="宋体"/>
          <w:lang w:eastAsia="zh-CN"/>
        </w:rPr>
        <w:t>（2）线上移动端应用用户黏性有待提高，线下自助终端布局尚需完善</w:t>
      </w:r>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根据沪委办发〔2021〕6号规划，2021年底前上海市达到“随申办”月活跃用户数突破1300万（换算青浦区月活动用户理论突破目标为66.46万）。根据数据统计，2021年青浦区月平均访问量虽为26.21万人，但在8月、11月，访问量已突破80万。不过，根据2021年市“一网通办”评估报告，青浦区接入“随申办”区级旗舰店政务服务事项数量相对较少，旗舰店访问量及发现频道橱窗位服务访问量、分享数等也较低，用户黏性有待提高。此外，在线下自助终端布局方面，截至2021年底，累计部署43台自助终端设备，区平均每街镇部署了综合类政务自助终端3.91台，高于各区平均3.06台，覆盖101项“全市通办”服务事项以及914项区级自助申报事项，但平均每街镇部署24小时政务自助服务场所数量低于各区平均水平0.44个，尚需进一步完善规划布局。</w:t>
      </w:r>
    </w:p>
    <w:p>
      <w:pPr>
        <w:spacing w:after="156" w:afterLines="50" w:line="360" w:lineRule="auto"/>
        <w:ind w:firstLine="480" w:firstLineChars="200"/>
        <w:outlineLvl w:val="1"/>
        <w:rPr>
          <w:rFonts w:ascii="宋体" w:hAnsi="宋体" w:eastAsia="宋体" w:cs="宋体"/>
          <w:lang w:eastAsia="zh-CN"/>
        </w:rPr>
      </w:pPr>
      <w:bookmarkStart w:id="17" w:name="_Toc847"/>
      <w:bookmarkStart w:id="18" w:name="_Toc20416"/>
      <w:r>
        <w:rPr>
          <w:rFonts w:hint="eastAsia" w:ascii="宋体" w:hAnsi="宋体" w:eastAsia="宋体" w:cs="宋体"/>
          <w:lang w:eastAsia="zh-CN"/>
        </w:rPr>
        <w:t>（二）建议和改进举措</w:t>
      </w:r>
      <w:bookmarkEnd w:id="17"/>
      <w:bookmarkEnd w:id="18"/>
    </w:p>
    <w:p>
      <w:pPr>
        <w:spacing w:after="156" w:afterLines="50" w:line="360" w:lineRule="auto"/>
        <w:ind w:firstLine="480" w:firstLineChars="200"/>
        <w:outlineLvl w:val="2"/>
        <w:rPr>
          <w:rFonts w:ascii="宋体" w:hAnsi="宋体" w:eastAsia="宋体" w:cs="宋体"/>
          <w:lang w:eastAsia="zh-CN"/>
        </w:rPr>
      </w:pPr>
      <w:r>
        <w:rPr>
          <w:rFonts w:hint="eastAsia" w:ascii="宋体" w:hAnsi="宋体" w:eastAsia="宋体" w:cs="宋体"/>
          <w:lang w:eastAsia="zh-CN"/>
        </w:rPr>
        <w:t>1.战略决策方面</w:t>
      </w:r>
    </w:p>
    <w:p>
      <w:pPr>
        <w:spacing w:after="156" w:afterLines="50" w:line="360" w:lineRule="auto"/>
        <w:ind w:firstLine="480" w:firstLineChars="200"/>
        <w:outlineLvl w:val="3"/>
        <w:rPr>
          <w:rFonts w:ascii="宋体" w:hAnsi="宋体" w:eastAsia="宋体" w:cs="宋体"/>
          <w:lang w:eastAsia="zh-CN"/>
        </w:rPr>
      </w:pPr>
      <w:r>
        <w:rPr>
          <w:rFonts w:hint="eastAsia" w:ascii="宋体" w:hAnsi="宋体" w:eastAsia="宋体" w:cs="宋体"/>
          <w:lang w:eastAsia="zh-CN"/>
        </w:rPr>
        <w:t>编制部门中长期规划，逐步提高人员专业度</w:t>
      </w:r>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建议区政务办参考市级中长期发展规划，完善编制部门自身规划，定期结合改革进度与客观实际，对中长期规划中的目标进行调整，提高中长期规划与部门工作职能的适应性。对于互联网政务资源科人员职责分工的落实，亦需制定相应的计划，按阶段提升科室履职支撑度。</w:t>
      </w:r>
    </w:p>
    <w:p>
      <w:pPr>
        <w:spacing w:after="156" w:afterLines="50" w:line="360" w:lineRule="auto"/>
        <w:ind w:firstLine="480" w:firstLineChars="200"/>
        <w:outlineLvl w:val="2"/>
        <w:rPr>
          <w:rFonts w:ascii="宋体" w:hAnsi="宋体" w:eastAsia="宋体" w:cs="宋体"/>
          <w:lang w:eastAsia="zh-CN"/>
        </w:rPr>
      </w:pPr>
      <w:r>
        <w:rPr>
          <w:rFonts w:hint="eastAsia" w:ascii="宋体" w:hAnsi="宋体" w:eastAsia="宋体" w:cs="宋体"/>
          <w:lang w:eastAsia="zh-CN"/>
        </w:rPr>
        <w:t>2.预算管理方面</w:t>
      </w:r>
    </w:p>
    <w:p>
      <w:pPr>
        <w:spacing w:after="156" w:afterLines="50" w:line="360" w:lineRule="auto"/>
        <w:ind w:firstLine="480" w:firstLineChars="200"/>
        <w:outlineLvl w:val="3"/>
        <w:rPr>
          <w:rFonts w:ascii="宋体" w:hAnsi="宋体" w:eastAsia="宋体" w:cs="宋体"/>
          <w:lang w:eastAsia="zh-CN"/>
        </w:rPr>
      </w:pPr>
      <w:r>
        <w:rPr>
          <w:rFonts w:hint="eastAsia" w:ascii="宋体" w:hAnsi="宋体" w:eastAsia="宋体" w:cs="宋体"/>
          <w:lang w:eastAsia="zh-CN"/>
        </w:rPr>
        <w:t>（1）合并优化项目明细内容，综合考虑项目预算调整、执行</w:t>
      </w:r>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建议区政务办对部门下设项目明细进行梳理，删除重复项，合并同类项目；在调整项目预算时，对按实结算的项目进行历史数据的分析，合理预估未来支出，对已签订合同的项目，及时按照合同金额调整，按照支付条款，将验收考核款进行调减。</w:t>
      </w:r>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基于上述原则，评价组对区政务办2022年预算进行分类梳理，按实执行的，根据上半年发生情况、下半年计划以及历史数据进行审核；已签订合同的，按照合同条款审核；未签订合同或未进行采购的，在采购预算的基础上，将验收考核费用调整至下一年度安排，最终建议2022年调整后预算金额为3918.03万元。</w:t>
      </w:r>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截至报告出具日期，区政务办2023年预算尚未编制完全，故本次评价仅提供方向性建议，即对于考察费、宣传费等统筹费用，可参照历年执行金额及工作重点侧重安排，例如若当年度侧重政务服务内容变革，则增加宣传费；当年度侧重业务流程优化，则增加培训费等。</w:t>
      </w:r>
    </w:p>
    <w:p>
      <w:pPr>
        <w:spacing w:after="156" w:afterLines="50" w:line="360" w:lineRule="auto"/>
        <w:ind w:firstLine="480" w:firstLineChars="200"/>
        <w:outlineLvl w:val="3"/>
        <w:rPr>
          <w:rFonts w:ascii="宋体" w:hAnsi="宋体" w:eastAsia="宋体" w:cs="宋体"/>
          <w:lang w:eastAsia="zh-CN"/>
        </w:rPr>
      </w:pPr>
      <w:r>
        <w:rPr>
          <w:rFonts w:hint="eastAsia" w:ascii="宋体" w:hAnsi="宋体" w:eastAsia="宋体" w:cs="宋体"/>
          <w:lang w:eastAsia="zh-CN"/>
        </w:rPr>
        <w:t>（2）及时上缴结转资金，规范办理非税收入征收手续</w:t>
      </w:r>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建议在结转项目时，对项目资金支付时间进行估计确认，从而有选择地进行结转上缴；在非税收入的征收方面，建议区政务办及时咨询行政事业性收费相关事宜，规范办理手续。征收标准可参照《国务院办公厅关于印发&lt;政府信息公开信息处理费管理办法&gt;的通知》（国办函〔2020〕109号）中，提供政府信息纸质件按量计收标准。并加强对居民的宣传教育推广，避免无关、重复材料的复印。</w:t>
      </w:r>
    </w:p>
    <w:p>
      <w:pPr>
        <w:spacing w:after="156" w:afterLines="50" w:line="360" w:lineRule="auto"/>
        <w:ind w:firstLine="480" w:firstLineChars="200"/>
        <w:outlineLvl w:val="3"/>
        <w:rPr>
          <w:rFonts w:ascii="宋体" w:hAnsi="宋体" w:eastAsia="宋体" w:cs="宋体"/>
          <w:lang w:eastAsia="zh-CN"/>
        </w:rPr>
      </w:pPr>
      <w:r>
        <w:rPr>
          <w:rFonts w:hint="eastAsia" w:ascii="宋体" w:hAnsi="宋体" w:eastAsia="宋体" w:cs="宋体"/>
          <w:lang w:eastAsia="zh-CN"/>
        </w:rPr>
        <w:t>（3）加强部门绩效管理，提高绩效目标编报质量</w:t>
      </w:r>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建议区政务办按照内部控制规范落实部门绩效管理，做好全过程、全覆盖的绩效监督，同时加强科室填报人员绩效目标编制的培训，落实第三方辅导结果应用。</w:t>
      </w:r>
    </w:p>
    <w:p>
      <w:pPr>
        <w:spacing w:after="156" w:afterLines="50" w:line="360" w:lineRule="auto"/>
        <w:ind w:firstLine="480" w:firstLineChars="200"/>
        <w:outlineLvl w:val="2"/>
        <w:rPr>
          <w:rFonts w:ascii="宋体" w:hAnsi="宋体" w:eastAsia="宋体" w:cs="宋体"/>
          <w:lang w:eastAsia="zh-CN"/>
        </w:rPr>
      </w:pPr>
      <w:r>
        <w:rPr>
          <w:rFonts w:hint="eastAsia" w:ascii="宋体" w:hAnsi="宋体" w:eastAsia="宋体" w:cs="宋体"/>
          <w:lang w:eastAsia="zh-CN"/>
        </w:rPr>
        <w:t>3.部门内部管理方面</w:t>
      </w:r>
    </w:p>
    <w:p>
      <w:pPr>
        <w:spacing w:after="156" w:afterLines="50" w:line="360" w:lineRule="auto"/>
        <w:ind w:firstLine="480" w:firstLineChars="200"/>
        <w:outlineLvl w:val="3"/>
        <w:rPr>
          <w:rFonts w:ascii="宋体" w:hAnsi="宋体" w:eastAsia="宋体" w:cs="宋体"/>
          <w:lang w:eastAsia="zh-CN"/>
        </w:rPr>
      </w:pPr>
      <w:r>
        <w:rPr>
          <w:rFonts w:hint="eastAsia" w:ascii="宋体" w:hAnsi="宋体" w:eastAsia="宋体" w:cs="宋体"/>
          <w:lang w:eastAsia="zh-CN"/>
        </w:rPr>
        <w:t>（1）坚持严格成本控制原则，完善合同约定条款</w:t>
      </w:r>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建议区政务办在今后的政府采购中，针对合同约定注意支付条款与服务期限是否存在冲突，避免服务尚未完成，尾款已全部支付的情况；在合同资金执行方面，充分采取审价、结算审核等方式进行成本控制。</w:t>
      </w:r>
    </w:p>
    <w:p>
      <w:pPr>
        <w:spacing w:after="156" w:afterLines="50" w:line="360" w:lineRule="auto"/>
        <w:ind w:firstLine="480" w:firstLineChars="200"/>
        <w:outlineLvl w:val="3"/>
        <w:rPr>
          <w:rFonts w:ascii="宋体" w:hAnsi="宋体" w:eastAsia="宋体" w:cs="宋体"/>
          <w:lang w:eastAsia="zh-CN"/>
        </w:rPr>
      </w:pPr>
      <w:r>
        <w:rPr>
          <w:rFonts w:hint="eastAsia" w:ascii="宋体" w:hAnsi="宋体" w:eastAsia="宋体" w:cs="宋体"/>
          <w:lang w:eastAsia="zh-CN"/>
        </w:rPr>
        <w:t>（2）加强资产排查，及时更新资产卡片信息</w:t>
      </w:r>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建议区政务办对于部门实际在用资产进行细化排查，及时更新资产卡片信息，加强资产管理。</w:t>
      </w:r>
    </w:p>
    <w:p>
      <w:pPr>
        <w:spacing w:after="156" w:afterLines="50" w:line="360" w:lineRule="auto"/>
        <w:ind w:firstLine="480" w:firstLineChars="200"/>
        <w:outlineLvl w:val="2"/>
        <w:rPr>
          <w:rFonts w:ascii="宋体" w:hAnsi="宋体" w:eastAsia="宋体" w:cs="宋体"/>
          <w:lang w:eastAsia="zh-CN"/>
        </w:rPr>
      </w:pPr>
      <w:r>
        <w:rPr>
          <w:rFonts w:hint="eastAsia" w:ascii="宋体" w:hAnsi="宋体" w:eastAsia="宋体" w:cs="宋体"/>
          <w:lang w:eastAsia="zh-CN"/>
        </w:rPr>
        <w:t>4.部门绩效方面</w:t>
      </w:r>
    </w:p>
    <w:p>
      <w:pPr>
        <w:spacing w:after="156" w:afterLines="50" w:line="360" w:lineRule="auto"/>
        <w:ind w:firstLine="480" w:firstLineChars="200"/>
        <w:outlineLvl w:val="3"/>
        <w:rPr>
          <w:rFonts w:ascii="宋体" w:hAnsi="宋体" w:eastAsia="宋体" w:cs="宋体"/>
          <w:lang w:eastAsia="zh-CN"/>
        </w:rPr>
      </w:pPr>
      <w:r>
        <w:rPr>
          <w:rFonts w:hint="eastAsia" w:ascii="宋体" w:hAnsi="宋体" w:eastAsia="宋体" w:cs="宋体"/>
          <w:lang w:eastAsia="zh-CN"/>
        </w:rPr>
        <w:t>（1）全面加强审改力度，同步匹配实际服务</w:t>
      </w:r>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建议区政务办对横向对比数据进行分析，梳理总结可提升的业务条线，对外省及市内排名前列的行政区/部门单位进行调研学习，本着更加惠企利民、推动政府职能转变的方向，在保证减时限、减跑动成效的同时，尽可能加大各业务条线部门对窗口的授权力度，着力提升即办事项的梳理。提升主动参与试点改革的积极性，提高制度供给力，减少法律法规滞后的矛盾。明确街镇行政审批事项清单，划清属地管理与审批的边限，推进审批事项的标准化建设。同时，在将业务流程优化改造落实于实际政务服务时要注重匹配度以及精准度的把握，例如针对已梳理的即办件，可通过培训提升服务人员的受理、办理能力，利用宣传推广提高群众对高频即办事项内容的知晓程度，助力即办事项真正实现当天即办。此外，诸如办事指南等理论信息也需与实际对应，做到信息准确率100%，避免因信息错误导致办件人白跑或多跑。</w:t>
      </w:r>
    </w:p>
    <w:p>
      <w:pPr>
        <w:spacing w:after="156" w:afterLines="50" w:line="360" w:lineRule="auto"/>
        <w:ind w:firstLine="480" w:firstLineChars="200"/>
        <w:outlineLvl w:val="3"/>
        <w:rPr>
          <w:rFonts w:ascii="宋体" w:hAnsi="宋体" w:eastAsia="宋体" w:cs="宋体"/>
          <w:lang w:eastAsia="zh-CN"/>
        </w:rPr>
      </w:pPr>
      <w:r>
        <w:rPr>
          <w:rFonts w:hint="eastAsia" w:ascii="宋体" w:hAnsi="宋体" w:eastAsia="宋体" w:cs="宋体"/>
          <w:lang w:eastAsia="zh-CN"/>
        </w:rPr>
        <w:t>（2）基于辖区居民体验，完善线上线下运营布局</w:t>
      </w:r>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根据对青浦区月访问量数据梳理发现，2021年通过区政务办优化“随申办”青浦旗舰店工作的开展，访问量逐步提升，其中8月、11月涨幅明显，月访问量达到80万以上，主要原因为8月青浦区在全市率先推出“校内课后服务”线上报名，上线长三角智慧医院等应用服务，11月发动街镇开展了宣传活动。故建议区政务办在后续年度工作中除根据用户使用习惯，改善界面布局外，加强对高频便民服务事项的接入，推出创新应用的同时加强宣传力度，扩大宣传范围。针对线下自助终端的布局，根据对居民活动范围的分析，对人流量较大、交通便利等场所进行部署，深化24小时政务服务圈的建设工作。</w:t>
      </w:r>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四、结果应用情况</w:t>
      </w:r>
    </w:p>
    <w:p>
      <w:pPr>
        <w:spacing w:after="156" w:afterLines="50" w:line="360" w:lineRule="auto"/>
        <w:ind w:firstLine="480" w:firstLineChars="200"/>
        <w:outlineLvl w:val="1"/>
        <w:rPr>
          <w:rFonts w:ascii="宋体" w:hAnsi="宋体" w:eastAsia="宋体" w:cs="宋体"/>
          <w:lang w:eastAsia="zh-CN"/>
        </w:rPr>
      </w:pPr>
      <w:bookmarkStart w:id="19" w:name="bookmark3"/>
      <w:r>
        <w:rPr>
          <w:rFonts w:hint="eastAsia" w:ascii="宋体" w:hAnsi="宋体" w:eastAsia="宋体" w:cs="宋体"/>
          <w:lang w:eastAsia="zh-CN"/>
        </w:rPr>
        <w:t>（</w:t>
      </w:r>
      <w:bookmarkEnd w:id="19"/>
      <w:r>
        <w:rPr>
          <w:rFonts w:hint="eastAsia" w:ascii="宋体" w:hAnsi="宋体" w:eastAsia="宋体" w:cs="宋体"/>
          <w:lang w:eastAsia="zh-CN"/>
        </w:rPr>
        <w:t>一）</w:t>
      </w:r>
      <w:r>
        <w:rPr>
          <w:rFonts w:hint="eastAsia" w:ascii="宋体" w:hAnsi="宋体" w:eastAsia="宋体" w:cs="宋体"/>
          <w:lang w:eastAsia="zh-CN"/>
        </w:rPr>
        <w:tab/>
      </w:r>
      <w:r>
        <w:rPr>
          <w:rFonts w:hint="eastAsia" w:ascii="宋体" w:hAnsi="宋体" w:eastAsia="宋体" w:cs="宋体"/>
          <w:lang w:eastAsia="zh-CN"/>
        </w:rPr>
        <w:t>完善部门年度工作计划</w:t>
      </w:r>
    </w:p>
    <w:p>
      <w:p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区政务办每年度均有编制年度工作计划，进行挂图作战，落实各项工作安排，未来将定期结合工作进度和客观实际，对年度计划目标进行适量调整，提高年度计划与部门工作执行的适应性与执行率。</w:t>
      </w:r>
    </w:p>
    <w:p>
      <w:pPr>
        <w:numPr>
          <w:ilvl w:val="0"/>
          <w:numId w:val="1"/>
        </w:numPr>
        <w:spacing w:after="156" w:afterLines="50" w:line="360" w:lineRule="auto"/>
        <w:ind w:firstLine="480" w:firstLineChars="200"/>
        <w:rPr>
          <w:rFonts w:ascii="宋体" w:hAnsi="宋体" w:eastAsia="宋体" w:cs="宋体"/>
          <w:lang w:eastAsia="zh-CN"/>
        </w:rPr>
      </w:pPr>
      <w:r>
        <w:rPr>
          <w:rFonts w:hint="eastAsia" w:ascii="宋体" w:hAnsi="宋体" w:eastAsia="宋体" w:cs="宋体"/>
          <w:lang w:eastAsia="zh-CN"/>
        </w:rPr>
        <w:t>完善预算编制，合理安排项目预算；加强部门绩效管理，强化绩效目标与工作计划、预算的关系，提升绩效目标指标合理性</w:t>
      </w:r>
    </w:p>
    <w:p>
      <w:pPr>
        <w:spacing w:after="156" w:afterLines="50" w:line="360" w:lineRule="auto"/>
        <w:ind w:firstLine="480" w:firstLineChars="200"/>
        <w:rPr>
          <w:rFonts w:ascii="宋体" w:hAnsi="宋体" w:eastAsia="宋体" w:cs="宋体"/>
          <w:lang w:eastAsia="zh-CN"/>
        </w:rPr>
      </w:pPr>
      <w:bookmarkStart w:id="20" w:name="bookmark5"/>
      <w:r>
        <w:rPr>
          <w:rFonts w:hint="eastAsia" w:ascii="宋体" w:hAnsi="宋体" w:eastAsia="宋体" w:cs="宋体"/>
          <w:lang w:eastAsia="zh-CN"/>
        </w:rPr>
        <w:t>1</w:t>
      </w:r>
      <w:bookmarkEnd w:id="20"/>
      <w:r>
        <w:rPr>
          <w:rFonts w:hint="eastAsia" w:ascii="宋体" w:hAnsi="宋体" w:eastAsia="宋体" w:cs="宋体"/>
          <w:lang w:eastAsia="zh-CN"/>
        </w:rPr>
        <w:t>.在编制2023年度预算时，根据政务办的</w:t>
      </w:r>
      <w:r>
        <w:rPr>
          <w:rFonts w:hint="eastAsia" w:ascii="宋体" w:hAnsi="宋体" w:eastAsia="宋体" w:cs="宋体"/>
          <w:lang w:val="zh-CN" w:eastAsia="zh-CN"/>
        </w:rPr>
        <w:t>“三定”方</w:t>
      </w:r>
      <w:r>
        <w:rPr>
          <w:rFonts w:hint="eastAsia" w:ascii="宋体" w:hAnsi="宋体" w:eastAsia="宋体" w:cs="宋体"/>
          <w:lang w:eastAsia="zh-CN"/>
        </w:rPr>
        <w:t>案，调整了一二级项目名称，对于同类项目进行合并处理（易耗品合并到办公用品项目里，政务服务短信服务费合并到通信费项目里）；同时根据项目实际执行情况对2022年度项目预算进行调整（</w:t>
      </w:r>
      <w:r>
        <w:rPr>
          <w:rFonts w:hint="eastAsia" w:ascii="宋体" w:hAnsi="宋体" w:eastAsia="宋体" w:cs="宋体"/>
          <w:lang w:val="zh-CN" w:eastAsia="zh-CN"/>
        </w:rPr>
        <w:t>“一</w:t>
      </w:r>
      <w:r>
        <w:rPr>
          <w:rFonts w:hint="eastAsia" w:ascii="宋体" w:hAnsi="宋体" w:eastAsia="宋体" w:cs="宋体"/>
          <w:lang w:eastAsia="zh-CN"/>
        </w:rPr>
        <w:t>窗通</w:t>
      </w:r>
      <w:r>
        <w:rPr>
          <w:rFonts w:hint="eastAsia" w:ascii="宋体" w:hAnsi="宋体" w:eastAsia="宋体" w:cs="宋体"/>
          <w:lang w:val="zh-CN" w:eastAsia="zh-CN"/>
        </w:rPr>
        <w:t>”印章</w:t>
      </w:r>
      <w:r>
        <w:rPr>
          <w:rFonts w:hint="eastAsia" w:ascii="宋体" w:hAnsi="宋体" w:eastAsia="宋体" w:cs="宋体"/>
          <w:lang w:eastAsia="zh-CN"/>
        </w:rPr>
        <w:t>项目经费调减30.1万元）。</w:t>
      </w:r>
    </w:p>
    <w:p>
      <w:pPr>
        <w:spacing w:after="156" w:afterLines="50" w:line="360" w:lineRule="auto"/>
        <w:ind w:firstLine="480" w:firstLineChars="200"/>
        <w:rPr>
          <w:rFonts w:ascii="宋体" w:hAnsi="宋体" w:eastAsia="宋体" w:cs="宋体"/>
          <w:lang w:eastAsia="zh-CN"/>
        </w:rPr>
      </w:pPr>
      <w:bookmarkStart w:id="21" w:name="bookmark6"/>
      <w:r>
        <w:rPr>
          <w:rFonts w:hint="eastAsia" w:ascii="宋体" w:hAnsi="宋体" w:eastAsia="宋体" w:cs="宋体"/>
          <w:lang w:eastAsia="zh-CN"/>
        </w:rPr>
        <w:t>2</w:t>
      </w:r>
      <w:bookmarkEnd w:id="21"/>
      <w:r>
        <w:rPr>
          <w:rFonts w:hint="eastAsia" w:ascii="宋体" w:hAnsi="宋体" w:eastAsia="宋体" w:cs="宋体"/>
          <w:lang w:eastAsia="zh-CN"/>
        </w:rPr>
        <w:t>.根据财政要求上缴结余资金，根据项目实际情况，妥善使用项目结转资金。</w:t>
      </w:r>
    </w:p>
    <w:p>
      <w:pPr>
        <w:spacing w:after="156" w:afterLines="50" w:line="360" w:lineRule="auto"/>
        <w:ind w:firstLine="480" w:firstLineChars="200"/>
        <w:rPr>
          <w:rFonts w:ascii="宋体" w:hAnsi="宋体" w:eastAsia="宋体" w:cs="宋体"/>
          <w:lang w:eastAsia="zh-CN"/>
        </w:rPr>
      </w:pPr>
      <w:bookmarkStart w:id="22" w:name="bookmark7"/>
      <w:r>
        <w:rPr>
          <w:rFonts w:hint="eastAsia" w:ascii="宋体" w:hAnsi="宋体" w:eastAsia="宋体" w:cs="宋体"/>
          <w:lang w:eastAsia="zh-CN"/>
        </w:rPr>
        <w:t>3</w:t>
      </w:r>
      <w:bookmarkEnd w:id="22"/>
      <w:r>
        <w:rPr>
          <w:rFonts w:hint="eastAsia" w:ascii="宋体" w:hAnsi="宋体" w:eastAsia="宋体" w:cs="宋体"/>
          <w:lang w:eastAsia="zh-CN"/>
        </w:rPr>
        <w:t>.根据区政务办预算绩效管理工作制度，结合各项目预算、具体工作内容及工作计划安排，设置与业务工作紧密相关的绩效指标，合理设置一级指标、二级指标和三级指标，包括数量、目标、实效、成本、社会效益、可持续效益、满意度等内容，并明确具体指标值。</w:t>
      </w:r>
    </w:p>
    <w:p>
      <w:pPr>
        <w:numPr>
          <w:ilvl w:val="0"/>
          <w:numId w:val="1"/>
        </w:numPr>
        <w:spacing w:after="156" w:afterLines="50" w:line="360" w:lineRule="auto"/>
        <w:ind w:firstLine="480" w:firstLineChars="200"/>
        <w:outlineLvl w:val="1"/>
        <w:rPr>
          <w:rFonts w:ascii="宋体" w:hAnsi="宋体" w:eastAsia="宋体" w:cs="宋体"/>
          <w:lang w:eastAsia="zh-CN"/>
        </w:rPr>
      </w:pPr>
      <w:r>
        <w:rPr>
          <w:rFonts w:hint="eastAsia" w:ascii="宋体" w:hAnsi="宋体" w:eastAsia="宋体" w:cs="宋体"/>
          <w:lang w:eastAsia="zh-CN"/>
        </w:rPr>
        <w:t>加强内部控制规范学习，落实资产管理各项举措</w:t>
      </w:r>
    </w:p>
    <w:p>
      <w:pPr>
        <w:spacing w:after="156" w:afterLines="50" w:line="360" w:lineRule="auto"/>
        <w:ind w:firstLine="480" w:firstLineChars="200"/>
        <w:rPr>
          <w:rFonts w:ascii="宋体" w:hAnsi="宋体" w:eastAsia="宋体" w:cs="宋体"/>
          <w:lang w:eastAsia="zh-CN"/>
        </w:rPr>
      </w:pPr>
      <w:bookmarkStart w:id="23" w:name="bookmark9"/>
      <w:r>
        <w:rPr>
          <w:rFonts w:hint="eastAsia" w:ascii="宋体" w:hAnsi="宋体" w:eastAsia="宋体" w:cs="宋体"/>
          <w:lang w:eastAsia="zh-CN"/>
        </w:rPr>
        <w:t>1</w:t>
      </w:r>
      <w:bookmarkEnd w:id="23"/>
      <w:r>
        <w:rPr>
          <w:rFonts w:hint="eastAsia" w:ascii="宋体" w:hAnsi="宋体" w:eastAsia="宋体" w:cs="宋体"/>
          <w:lang w:eastAsia="zh-CN"/>
        </w:rPr>
        <w:t>.为有效开展区政务办内部控制管理工作，加强风险防范机制建设，提高工作的规范性、科学性和有效性，区政务办开展了内部控制专题培训，围绕预算管理、收支管理、合同管理、政府采购、资产管理、基本建设管理和经费报销等内控相关知识进行了深入学习。具体到合同管理方面，要求合同签订程序合规、内容合理、要素完整，由办公室对合同进行统一归口管理，力争未来扎实做好合同管理工作。</w:t>
      </w:r>
    </w:p>
    <w:p>
      <w:pPr>
        <w:spacing w:after="156" w:afterLines="50" w:line="360" w:lineRule="auto"/>
        <w:ind w:firstLine="480" w:firstLineChars="200"/>
        <w:rPr>
          <w:rFonts w:ascii="宋体" w:hAnsi="宋体" w:eastAsia="宋体" w:cs="宋体"/>
          <w:lang w:eastAsia="zh-CN"/>
        </w:rPr>
      </w:pPr>
      <w:bookmarkStart w:id="24" w:name="bookmark10"/>
      <w:r>
        <w:rPr>
          <w:rFonts w:hint="eastAsia" w:ascii="宋体" w:hAnsi="宋体" w:eastAsia="宋体" w:cs="宋体"/>
          <w:lang w:eastAsia="zh-CN"/>
        </w:rPr>
        <w:t>2</w:t>
      </w:r>
      <w:bookmarkEnd w:id="24"/>
      <w:r>
        <w:rPr>
          <w:rFonts w:hint="eastAsia" w:ascii="宋体" w:hAnsi="宋体" w:eastAsia="宋体" w:cs="宋体"/>
          <w:lang w:eastAsia="zh-CN"/>
        </w:rPr>
        <w:t>.区政务办于2022年对固定资产进行盘点清查，根据《青浦区政务服务办公室内部控制规范》中的固定资产管理办法对部门资产进行了盘点、记录、贴标等工作.未来将加强资产排查力度，及时调整资产系统里的卡片信息（闲置改为在用）。</w:t>
      </w:r>
    </w:p>
    <w:p>
      <w:pPr>
        <w:spacing w:after="156" w:afterLines="50" w:line="360" w:lineRule="auto"/>
        <w:ind w:firstLine="480" w:firstLineChars="200"/>
        <w:outlineLvl w:val="1"/>
        <w:rPr>
          <w:rFonts w:ascii="宋体" w:hAnsi="宋体" w:eastAsia="宋体" w:cs="宋体"/>
          <w:lang w:eastAsia="zh-CN"/>
        </w:rPr>
      </w:pPr>
      <w:bookmarkStart w:id="25" w:name="bookmark11"/>
      <w:r>
        <w:rPr>
          <w:rFonts w:hint="eastAsia" w:ascii="宋体" w:hAnsi="宋体" w:eastAsia="宋体" w:cs="宋体"/>
          <w:lang w:eastAsia="zh-CN"/>
        </w:rPr>
        <w:t>（</w:t>
      </w:r>
      <w:bookmarkEnd w:id="25"/>
      <w:r>
        <w:rPr>
          <w:rFonts w:hint="eastAsia" w:ascii="宋体" w:hAnsi="宋体" w:eastAsia="宋体" w:cs="宋体"/>
          <w:lang w:eastAsia="zh-CN"/>
        </w:rPr>
        <w:t>四）</w:t>
      </w:r>
      <w:r>
        <w:rPr>
          <w:rFonts w:hint="eastAsia" w:ascii="宋体" w:hAnsi="宋体" w:eastAsia="宋体" w:cs="宋体"/>
          <w:lang w:eastAsia="zh-CN"/>
        </w:rPr>
        <w:tab/>
      </w:r>
      <w:r>
        <w:rPr>
          <w:rFonts w:hint="eastAsia" w:ascii="宋体" w:hAnsi="宋体" w:eastAsia="宋体" w:cs="宋体"/>
          <w:lang w:eastAsia="zh-CN"/>
        </w:rPr>
        <w:t>推进行政审批事项</w:t>
      </w:r>
      <w:r>
        <w:rPr>
          <w:rFonts w:hint="eastAsia" w:ascii="宋体" w:hAnsi="宋体" w:eastAsia="宋体" w:cs="宋体"/>
          <w:lang w:val="zh-CN" w:eastAsia="zh-CN"/>
        </w:rPr>
        <w:t>“两</w:t>
      </w:r>
      <w:r>
        <w:rPr>
          <w:rFonts w:hint="eastAsia" w:ascii="宋体" w:hAnsi="宋体" w:eastAsia="宋体" w:cs="宋体"/>
          <w:lang w:eastAsia="zh-CN"/>
        </w:rPr>
        <w:t>集中两到位”改革工作</w:t>
      </w:r>
    </w:p>
    <w:p>
      <w:pPr>
        <w:spacing w:after="156" w:afterLines="50" w:line="360" w:lineRule="auto"/>
        <w:ind w:firstLine="480" w:firstLineChars="200"/>
        <w:rPr>
          <w:rFonts w:ascii="宋体" w:hAnsi="宋体" w:eastAsia="宋体" w:cs="宋体"/>
          <w:lang w:eastAsia="zh-CN" w:bidi="ar-SA"/>
        </w:rPr>
      </w:pPr>
      <w:r>
        <w:rPr>
          <w:rFonts w:hint="eastAsia" w:ascii="宋体" w:hAnsi="宋体" w:eastAsia="宋体" w:cs="宋体"/>
          <w:lang w:eastAsia="zh-CN"/>
        </w:rPr>
        <w:t>针对办事指南里写的事项在综合窗口，但业务不在综合窗口办理的问题，为杜绝</w:t>
      </w:r>
      <w:r>
        <w:rPr>
          <w:rFonts w:hint="eastAsia" w:ascii="宋体" w:hAnsi="宋体" w:eastAsia="宋体" w:cs="宋体"/>
          <w:lang w:val="zh-CN" w:eastAsia="zh-CN"/>
        </w:rPr>
        <w:t>“明</w:t>
      </w:r>
      <w:r>
        <w:rPr>
          <w:rFonts w:hint="eastAsia" w:ascii="宋体" w:hAnsi="宋体" w:eastAsia="宋体" w:cs="宋体"/>
          <w:lang w:eastAsia="zh-CN"/>
        </w:rPr>
        <w:t>进暗不进”现象，确保进驻的政务服务事项在政务服务中心实质运行，青浦区全面推进行政审批事项</w:t>
      </w:r>
      <w:r>
        <w:rPr>
          <w:rFonts w:hint="eastAsia" w:ascii="宋体" w:hAnsi="宋体" w:eastAsia="宋体" w:cs="宋体"/>
          <w:lang w:val="zh-CN" w:eastAsia="zh-CN"/>
        </w:rPr>
        <w:t>“两</w:t>
      </w:r>
      <w:r>
        <w:rPr>
          <w:rFonts w:hint="eastAsia" w:ascii="宋体" w:hAnsi="宋体" w:eastAsia="宋体" w:cs="宋体"/>
          <w:lang w:eastAsia="zh-CN"/>
        </w:rPr>
        <w:t>集中两到位”改革工作。</w:t>
      </w:r>
    </w:p>
    <w:p>
      <w:pPr>
        <w:pStyle w:val="2"/>
        <w:spacing w:beforeLines="0" w:after="156" w:afterLines="50"/>
        <w:ind w:firstLine="480" w:firstLineChars="200"/>
        <w:rPr>
          <w:rFonts w:ascii="宋体" w:cs="宋体"/>
          <w:sz w:val="24"/>
          <w:szCs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lang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76A484"/>
    <w:multiLevelType w:val="singleLevel"/>
    <w:tmpl w:val="3F76A484"/>
    <w:lvl w:ilvl="0" w:tentative="0">
      <w:start w:val="2"/>
      <w:numFmt w:val="chineseCount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wMmM1ODlkMDIwZmY4NWY2MTk1Yjk5ZDlhZDAwNTkifQ=="/>
    <w:docVar w:name="KSO_WPS_MARK_KEY" w:val="89461c2e-50d9-41ae-b39b-423629a5963f"/>
  </w:docVars>
  <w:rsids>
    <w:rsidRoot w:val="002F26C8"/>
    <w:rsid w:val="000127FE"/>
    <w:rsid w:val="000B091C"/>
    <w:rsid w:val="002F26C8"/>
    <w:rsid w:val="00D03A84"/>
    <w:rsid w:val="00D3632F"/>
    <w:rsid w:val="00F9557F"/>
    <w:rsid w:val="018F704F"/>
    <w:rsid w:val="07087BCB"/>
    <w:rsid w:val="075C3866"/>
    <w:rsid w:val="07A80846"/>
    <w:rsid w:val="0963712E"/>
    <w:rsid w:val="0B5A7ECD"/>
    <w:rsid w:val="10D12BCF"/>
    <w:rsid w:val="122A1B85"/>
    <w:rsid w:val="130715CE"/>
    <w:rsid w:val="1A0D459C"/>
    <w:rsid w:val="266B541C"/>
    <w:rsid w:val="26D34A12"/>
    <w:rsid w:val="330970C6"/>
    <w:rsid w:val="3DAF078F"/>
    <w:rsid w:val="427174BE"/>
    <w:rsid w:val="462D22F3"/>
    <w:rsid w:val="4C401863"/>
    <w:rsid w:val="5475219F"/>
    <w:rsid w:val="5ABF6859"/>
    <w:rsid w:val="609F7BE7"/>
    <w:rsid w:val="61880654"/>
    <w:rsid w:val="63647024"/>
    <w:rsid w:val="67CC581F"/>
    <w:rsid w:val="69807E63"/>
    <w:rsid w:val="6AB2229E"/>
    <w:rsid w:val="7211411E"/>
    <w:rsid w:val="77D31AA6"/>
    <w:rsid w:val="78FD47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Times New Roman" w:hAnsi="Times New Roman" w:eastAsia="Times New Roman" w:cs="Times New Roman"/>
      <w:color w:val="000000"/>
      <w:sz w:val="24"/>
      <w:szCs w:val="24"/>
      <w:lang w:val="en-US" w:eastAsia="en-US" w:bidi="en-US"/>
    </w:rPr>
  </w:style>
  <w:style w:type="paragraph" w:styleId="3">
    <w:name w:val="heading 2"/>
    <w:basedOn w:val="1"/>
    <w:next w:val="1"/>
    <w:unhideWhenUsed/>
    <w:qFormat/>
    <w:uiPriority w:val="9"/>
    <w:pPr>
      <w:keepNext/>
      <w:keepLines/>
      <w:spacing w:line="600" w:lineRule="exact"/>
      <w:ind w:firstLine="562" w:firstLineChars="200"/>
      <w:outlineLvl w:val="1"/>
    </w:pPr>
    <w:rPr>
      <w:rFonts w:ascii="Arial" w:hAnsi="Arial" w:eastAsia="仿宋"/>
      <w:b/>
      <w:sz w:val="2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正文（文本）"/>
    <w:qFormat/>
    <w:uiPriority w:val="0"/>
    <w:pPr>
      <w:widowControl w:val="0"/>
      <w:snapToGrid w:val="0"/>
      <w:spacing w:beforeLines="20" w:line="360" w:lineRule="auto"/>
      <w:jc w:val="center"/>
    </w:pPr>
    <w:rPr>
      <w:rFonts w:ascii="Times New Roman" w:hAnsi="宋体" w:eastAsia="宋体" w:cs="Times New Roman"/>
      <w:kern w:val="2"/>
      <w:sz w:val="28"/>
      <w:szCs w:val="28"/>
      <w:lang w:val="en-US" w:eastAsia="zh-CN" w:bidi="ar-SA"/>
    </w:rPr>
  </w:style>
  <w:style w:type="paragraph" w:styleId="4">
    <w:name w:val="Balloon Text"/>
    <w:basedOn w:val="1"/>
    <w:link w:val="12"/>
    <w:qFormat/>
    <w:uiPriority w:val="0"/>
    <w:rPr>
      <w:sz w:val="18"/>
      <w:szCs w:val="18"/>
    </w:rPr>
  </w:style>
  <w:style w:type="paragraph" w:styleId="5">
    <w:name w:val="footer"/>
    <w:basedOn w:val="1"/>
    <w:unhideWhenUsed/>
    <w:qFormat/>
    <w:uiPriority w:val="99"/>
    <w:pPr>
      <w:tabs>
        <w:tab w:val="center" w:pos="4153"/>
        <w:tab w:val="right" w:pos="8306"/>
      </w:tabs>
      <w:snapToGrid w:val="0"/>
    </w:pPr>
    <w:rPr>
      <w:sz w:val="18"/>
      <w:szCs w:val="18"/>
    </w:rPr>
  </w:style>
  <w:style w:type="paragraph" w:styleId="6">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
    <w:name w:val="Body text|1"/>
    <w:basedOn w:val="1"/>
    <w:qFormat/>
    <w:uiPriority w:val="0"/>
    <w:pPr>
      <w:spacing w:line="391" w:lineRule="auto"/>
      <w:ind w:firstLine="400"/>
    </w:pPr>
    <w:rPr>
      <w:rFonts w:ascii="宋体" w:hAnsi="宋体" w:eastAsia="宋体" w:cs="宋体"/>
      <w:color w:val="282526"/>
      <w:lang w:val="zh-TW" w:eastAsia="zh-TW" w:bidi="zh-TW"/>
    </w:rPr>
  </w:style>
  <w:style w:type="character" w:customStyle="1" w:styleId="11">
    <w:name w:val="页眉 Char"/>
    <w:basedOn w:val="9"/>
    <w:link w:val="6"/>
    <w:qFormat/>
    <w:uiPriority w:val="0"/>
    <w:rPr>
      <w:rFonts w:ascii="Times New Roman" w:hAnsi="Times New Roman" w:eastAsia="Times New Roman" w:cs="Times New Roman"/>
      <w:color w:val="000000"/>
      <w:sz w:val="18"/>
      <w:szCs w:val="18"/>
      <w:lang w:eastAsia="en-US" w:bidi="en-US"/>
    </w:rPr>
  </w:style>
  <w:style w:type="character" w:customStyle="1" w:styleId="12">
    <w:name w:val="批注框文本 Char"/>
    <w:basedOn w:val="9"/>
    <w:link w:val="4"/>
    <w:qFormat/>
    <w:uiPriority w:val="0"/>
    <w:rPr>
      <w:rFonts w:ascii="Times New Roman" w:hAnsi="Times New Roman" w:eastAsia="Times New Roman" w:cs="Times New Roman"/>
      <w:color w:val="000000"/>
      <w:sz w:val="18"/>
      <w:szCs w:val="18"/>
      <w:lang w:eastAsia="en-US" w:bidi="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6788</Words>
  <Characters>7165</Characters>
  <Lines>51</Lines>
  <Paragraphs>14</Paragraphs>
  <TotalTime>0</TotalTime>
  <ScaleCrop>false</ScaleCrop>
  <LinksUpToDate>false</LinksUpToDate>
  <CharactersWithSpaces>7171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2022-10-31T05:23:00Z</dcterms:created>
  <dc:creator>zhuyh94</dc:creator>
  <cp:lastModifiedBy>zhuyh</cp:lastModifiedBy>
  <dcterms:modified xsi:type="dcterms:W3CDTF">2022-11-06T07:46:10Z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4DF066AAC68C4FC79BF22C4410042977</vt:lpwstr>
  </property>
</Properties>
</file>