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56" w:afterLines="50" w:line="360" w:lineRule="auto"/>
        <w:jc w:val="center"/>
        <w:outlineLvl w:val="0"/>
        <w:rPr>
          <w:rFonts w:hint="eastAsia" w:ascii="宋体" w:hAnsi="宋体" w:cs="宋体"/>
          <w:b/>
          <w:bCs/>
          <w:sz w:val="44"/>
          <w:szCs w:val="44"/>
        </w:rPr>
      </w:pPr>
      <w:r>
        <w:rPr>
          <w:rFonts w:hint="eastAsia" w:ascii="宋体" w:hAnsi="宋体" w:cs="宋体"/>
          <w:b/>
          <w:bCs/>
          <w:sz w:val="44"/>
          <w:szCs w:val="44"/>
          <w:lang w:val="en-US" w:eastAsia="zh-CN"/>
        </w:rPr>
        <w:t>2021年青浦区融媒体中心部门整体支出</w:t>
      </w:r>
      <w:r>
        <w:rPr>
          <w:rFonts w:hint="eastAsia" w:ascii="宋体" w:hAnsi="宋体" w:cs="宋体"/>
          <w:b/>
          <w:bCs/>
          <w:sz w:val="44"/>
          <w:szCs w:val="44"/>
          <w:lang w:val="en-US" w:eastAsia="zh-CN"/>
        </w:rPr>
        <w:br w:type="textWrapping"/>
      </w:r>
      <w:r>
        <w:rPr>
          <w:rFonts w:hint="eastAsia" w:ascii="宋体" w:hAnsi="宋体" w:cs="宋体"/>
          <w:b/>
          <w:bCs/>
          <w:sz w:val="44"/>
          <w:szCs w:val="44"/>
          <w:lang w:val="en-US" w:eastAsia="zh-CN"/>
        </w:rPr>
        <w:t>绩效评价结果信息公开</w:t>
      </w:r>
    </w:p>
    <w:p>
      <w:pPr>
        <w:spacing w:after="156" w:afterLines="50" w:line="360" w:lineRule="auto"/>
        <w:ind w:firstLine="480" w:firstLineChars="200"/>
        <w:outlineLvl w:val="0"/>
        <w:rPr>
          <w:rFonts w:hint="eastAsia" w:ascii="宋体" w:hAnsi="宋体" w:cs="宋体"/>
          <w:sz w:val="24"/>
        </w:rPr>
      </w:pPr>
      <w:r>
        <w:rPr>
          <w:rFonts w:hint="eastAsia" w:ascii="宋体" w:hAnsi="宋体" w:cs="宋体"/>
          <w:sz w:val="24"/>
        </w:rPr>
        <w:t>为加强财政支出管理，强化支出责任，提高财政资金使用绩效，根据区委区政府《关于我区全面实施预算绩效管理的实施意见》（青委〔2019〕245号）文件精神，2022年，</w:t>
      </w:r>
      <w:r>
        <w:rPr>
          <w:rFonts w:hint="eastAsia" w:ascii="宋体" w:hAnsi="宋体" w:cs="宋体"/>
          <w:sz w:val="24"/>
          <w:lang w:eastAsia="zh-CN"/>
        </w:rPr>
        <w:t>青浦区财政局</w:t>
      </w:r>
      <w:r>
        <w:rPr>
          <w:rFonts w:hint="eastAsia" w:ascii="宋体" w:hAnsi="宋体" w:cs="宋体"/>
          <w:sz w:val="24"/>
        </w:rPr>
        <w:t>组织对2021年青浦区融媒体中心部门整体支出实施绩效评价，并委托汉华评值（上海）资产评估有限公司</w:t>
      </w:r>
      <w:r>
        <w:rPr>
          <w:rFonts w:hint="eastAsia" w:ascii="宋体" w:hAnsi="宋体" w:cs="宋体"/>
          <w:sz w:val="24"/>
          <w:lang w:val="en-US" w:eastAsia="zh-CN"/>
        </w:rPr>
        <w:t>具体</w:t>
      </w:r>
      <w:r>
        <w:rPr>
          <w:rFonts w:hint="eastAsia" w:ascii="宋体" w:hAnsi="宋体" w:cs="宋体"/>
          <w:sz w:val="24"/>
        </w:rPr>
        <w:t>实施</w:t>
      </w:r>
      <w:r>
        <w:rPr>
          <w:rFonts w:hint="eastAsia" w:ascii="宋体" w:hAnsi="宋体" w:cs="宋体"/>
          <w:sz w:val="24"/>
          <w:lang w:eastAsia="zh-CN"/>
        </w:rPr>
        <w:t>。</w:t>
      </w:r>
      <w:r>
        <w:rPr>
          <w:rFonts w:hint="eastAsia" w:ascii="宋体" w:hAnsi="宋体" w:cs="宋体"/>
          <w:sz w:val="24"/>
          <w:lang w:val="en-US" w:eastAsia="zh-CN"/>
        </w:rPr>
        <w:t>区融媒体中心</w:t>
      </w:r>
      <w:r>
        <w:rPr>
          <w:rFonts w:hint="eastAsia" w:ascii="宋体" w:hAnsi="宋体" w:cs="宋体"/>
          <w:sz w:val="24"/>
        </w:rPr>
        <w:t>和</w:t>
      </w:r>
      <w:r>
        <w:rPr>
          <w:rFonts w:hint="eastAsia" w:ascii="宋体" w:hAnsi="宋体" w:cs="宋体"/>
          <w:sz w:val="24"/>
          <w:lang w:val="en-US" w:eastAsia="zh-CN"/>
        </w:rPr>
        <w:t>区</w:t>
      </w:r>
      <w:r>
        <w:rPr>
          <w:rFonts w:hint="eastAsia" w:ascii="宋体" w:hAnsi="宋体" w:cs="宋体"/>
          <w:sz w:val="24"/>
        </w:rPr>
        <w:t>财政局围绕预算管理、项目管理及财政内部管理等进行绩效评价结果落实应用。</w:t>
      </w:r>
    </w:p>
    <w:p>
      <w:pPr>
        <w:spacing w:after="156" w:afterLines="50" w:line="360" w:lineRule="auto"/>
        <w:ind w:firstLine="480" w:firstLineChars="200"/>
        <w:outlineLvl w:val="0"/>
        <w:rPr>
          <w:rFonts w:ascii="宋体" w:hAnsi="宋体" w:cs="宋体"/>
          <w:sz w:val="24"/>
        </w:rPr>
      </w:pPr>
      <w:bookmarkStart w:id="1" w:name="_GoBack"/>
      <w:bookmarkEnd w:id="1"/>
      <w:r>
        <w:rPr>
          <w:rFonts w:hint="eastAsia" w:ascii="宋体" w:hAnsi="宋体" w:cs="宋体"/>
          <w:sz w:val="24"/>
        </w:rPr>
        <w:t>一、部门概述</w:t>
      </w:r>
    </w:p>
    <w:p>
      <w:pPr>
        <w:spacing w:after="156" w:afterLines="50" w:line="360" w:lineRule="auto"/>
        <w:ind w:firstLine="480" w:firstLineChars="200"/>
        <w:rPr>
          <w:rFonts w:ascii="宋体" w:hAnsi="宋体" w:cs="宋体"/>
          <w:sz w:val="24"/>
        </w:rPr>
      </w:pPr>
      <w:r>
        <w:rPr>
          <w:rFonts w:hint="eastAsia" w:ascii="宋体" w:hAnsi="宋体" w:cs="宋体"/>
          <w:sz w:val="24"/>
        </w:rPr>
        <w:t>上海市青浦区融媒体中心是青浦区委直属全额拨款的公益二类事业单位，是集广播、电视、报纸、新闻网站、微博、微信、移动客户端等媒介为一体的融媒体新闻生产发布平台，积极打造适应新形势下意识形态把控和舆论宣传要求的融媒体“中央厨房”、“采编中心”，建立全媒体内容管理系统，实现“一次采集、多种生成、全媒传播”，努力成为主流舆论阵地、综合服务平台和社区信息枢纽。</w:t>
      </w:r>
    </w:p>
    <w:p>
      <w:pPr>
        <w:spacing w:after="156" w:afterLines="50" w:line="360" w:lineRule="auto"/>
        <w:ind w:firstLine="480" w:firstLineChars="200"/>
        <w:rPr>
          <w:rFonts w:ascii="宋体" w:hAnsi="宋体" w:cs="宋体"/>
          <w:sz w:val="24"/>
        </w:rPr>
      </w:pPr>
      <w:r>
        <w:rPr>
          <w:rFonts w:hint="eastAsia" w:ascii="宋体" w:hAnsi="宋体" w:cs="宋体"/>
          <w:sz w:val="24"/>
        </w:rPr>
        <w:t>区融媒体中心的工作主要分为舆论宣传、平台建设和队伍建设。舆论宣传包括贯彻执行党中央、市委和区委关于新闻宣传、媒体工作的方针和政策，构建统筹内宣、外宣、网宣和传统媒体、新兴媒体、社会宣传资源于一体的现代化传播体系等工作；平台建设包括负责广播电视、纸质媒体、网络媒体的安全播出、技术支持和设备保障等工作；队伍建设包含开展媒体阵地建设和业务培训，培养全媒体型专业人才等工作。</w:t>
      </w:r>
    </w:p>
    <w:p>
      <w:pPr>
        <w:spacing w:after="156" w:afterLines="50" w:line="360" w:lineRule="auto"/>
        <w:ind w:firstLine="480" w:firstLineChars="200"/>
        <w:rPr>
          <w:rFonts w:ascii="宋体" w:hAnsi="宋体" w:cs="宋体"/>
          <w:sz w:val="24"/>
        </w:rPr>
      </w:pPr>
      <w:r>
        <w:rPr>
          <w:rFonts w:hint="eastAsia" w:ascii="宋体" w:hAnsi="宋体" w:cs="宋体"/>
          <w:sz w:val="24"/>
        </w:rPr>
        <w:t>2021年，区融媒体中心部门整体年初预算9225.10万元，调整后预算为8830.33万元，实际支出8517.45万元，预算执行率为96.46%。</w:t>
      </w:r>
    </w:p>
    <w:p>
      <w:pPr>
        <w:spacing w:after="156" w:afterLines="50" w:line="360" w:lineRule="auto"/>
        <w:ind w:firstLine="480" w:firstLineChars="200"/>
        <w:outlineLvl w:val="0"/>
        <w:rPr>
          <w:rFonts w:ascii="宋体" w:hAnsi="宋体" w:cs="宋体"/>
          <w:sz w:val="24"/>
        </w:rPr>
      </w:pPr>
      <w:r>
        <w:rPr>
          <w:rFonts w:hint="eastAsia" w:ascii="宋体" w:hAnsi="宋体" w:cs="宋体"/>
          <w:sz w:val="24"/>
        </w:rPr>
        <w:t>二、评价工作开展情况</w:t>
      </w:r>
    </w:p>
    <w:p>
      <w:pPr>
        <w:spacing w:after="156" w:afterLines="50" w:line="360" w:lineRule="auto"/>
        <w:ind w:firstLine="480" w:firstLineChars="200"/>
        <w:rPr>
          <w:rFonts w:ascii="宋体" w:hAnsi="宋体" w:cs="宋体"/>
          <w:sz w:val="24"/>
        </w:rPr>
      </w:pPr>
      <w:r>
        <w:rPr>
          <w:rFonts w:hint="eastAsia" w:ascii="宋体" w:hAnsi="宋体" w:cs="宋体"/>
          <w:sz w:val="24"/>
        </w:rPr>
        <w:t>评价组自2022年2月承接本项目后，通过前期调研、评价思路定位、方案评审等关键环节，形成本次绩效评价关注重点：一是侧重于对部门履职情况进行评价；二是侧重于对预算编制情况进行评价；三是侧重于对财政资金使用合规性进行评价。</w:t>
      </w:r>
    </w:p>
    <w:p>
      <w:pPr>
        <w:spacing w:after="156" w:afterLines="50" w:line="360" w:lineRule="auto"/>
        <w:ind w:firstLine="480" w:firstLineChars="200"/>
        <w:rPr>
          <w:rFonts w:ascii="宋体" w:hAnsi="宋体" w:cs="宋体"/>
          <w:sz w:val="24"/>
        </w:rPr>
      </w:pPr>
      <w:r>
        <w:rPr>
          <w:rFonts w:hint="eastAsia" w:ascii="宋体" w:hAnsi="宋体" w:cs="宋体"/>
          <w:sz w:val="24"/>
        </w:rPr>
        <w:t>评价组结合评价关注重点，以实施目的和实施方式为导向设计本项目绩效评价指标体系，通过调研、访谈、问卷、查阅资料，运用社会调查、综合评分等方法，对本项目开展绩效评价。期间，通过对区融媒体中心业务负责人访谈以及收集项目的预算编报材料，了解部门职责、预算绩效管理、政府采购管理、资产管理等情况；通过对区融媒体中心工作情况进行分析复核，以及对报纸读者、新媒体平台受众和设备使用人员的调研等步骤，确认中心的工作完成情况。在此基础上，按照指标体系对相关数据信息汇总分析，形成区融媒体中心2021年度整体支出的绩效评价报告。</w:t>
      </w:r>
    </w:p>
    <w:p>
      <w:pPr>
        <w:spacing w:after="156" w:afterLines="50" w:line="360" w:lineRule="auto"/>
        <w:ind w:firstLine="480" w:firstLineChars="200"/>
        <w:outlineLvl w:val="0"/>
        <w:rPr>
          <w:rFonts w:ascii="宋体" w:hAnsi="宋体" w:cs="宋体"/>
          <w:sz w:val="24"/>
        </w:rPr>
      </w:pPr>
      <w:r>
        <w:rPr>
          <w:rFonts w:hint="eastAsia" w:ascii="宋体" w:hAnsi="宋体" w:cs="宋体"/>
          <w:sz w:val="24"/>
        </w:rPr>
        <w:t>三、评价结论和主要绩效</w:t>
      </w:r>
    </w:p>
    <w:p>
      <w:pPr>
        <w:spacing w:after="156" w:afterLines="50" w:line="360" w:lineRule="auto"/>
        <w:ind w:firstLine="480" w:firstLineChars="200"/>
        <w:outlineLvl w:val="1"/>
        <w:rPr>
          <w:rFonts w:ascii="宋体" w:hAnsi="宋体" w:cs="宋体"/>
          <w:sz w:val="24"/>
        </w:rPr>
      </w:pPr>
      <w:r>
        <w:rPr>
          <w:rFonts w:hint="eastAsia" w:ascii="宋体" w:hAnsi="宋体" w:cs="宋体"/>
          <w:sz w:val="24"/>
        </w:rPr>
        <w:t>（一）评价结论</w:t>
      </w:r>
    </w:p>
    <w:p>
      <w:pPr>
        <w:spacing w:after="156" w:afterLines="50" w:line="360" w:lineRule="auto"/>
        <w:ind w:firstLine="480" w:firstLineChars="200"/>
        <w:rPr>
          <w:rFonts w:ascii="宋体" w:hAnsi="宋体" w:cs="宋体"/>
          <w:sz w:val="24"/>
        </w:rPr>
      </w:pPr>
      <w:r>
        <w:rPr>
          <w:rFonts w:hint="eastAsia" w:ascii="宋体" w:hAnsi="宋体" w:cs="宋体"/>
          <w:sz w:val="24"/>
        </w:rPr>
        <w:t>根据评价组编写并通过专家组论证的评价指标体系及评分标准，通过数据采集、问卷调查及访谈，对2021年度上海市青浦区融媒体中心部门整体支出进行客观评价，最终评分结果为84.33分，评价等级为“良”。其中，部门决策类指标权重为10分，得分为6.75分，得分率67.5%；部门管理类指标权重为25分，得分为20.08分，得分率80.32%；部门产出类指标权重为25分，得分为24.5分，得分率98%；部门效果指标权重为30分，得分为23分，得分率76.67%；满意度指标权重为10分，得分为10分，得分率100%。</w:t>
      </w:r>
    </w:p>
    <w:p>
      <w:pPr>
        <w:spacing w:after="156" w:afterLines="50" w:line="360" w:lineRule="auto"/>
        <w:ind w:firstLine="480" w:firstLineChars="200"/>
        <w:outlineLvl w:val="1"/>
        <w:rPr>
          <w:rFonts w:ascii="宋体" w:hAnsi="宋体" w:cs="宋体"/>
          <w:sz w:val="24"/>
        </w:rPr>
      </w:pPr>
      <w:r>
        <w:rPr>
          <w:rFonts w:hint="eastAsia" w:ascii="宋体" w:hAnsi="宋体" w:cs="宋体"/>
          <w:sz w:val="24"/>
        </w:rPr>
        <w:t>（二）主要绩效</w:t>
      </w:r>
    </w:p>
    <w:p>
      <w:pPr>
        <w:spacing w:after="156" w:afterLines="50" w:line="360" w:lineRule="auto"/>
        <w:ind w:firstLine="480" w:firstLineChars="200"/>
        <w:rPr>
          <w:rFonts w:ascii="宋体" w:hAnsi="宋体" w:cs="宋体"/>
          <w:sz w:val="24"/>
        </w:rPr>
      </w:pPr>
      <w:r>
        <w:rPr>
          <w:rFonts w:hint="eastAsia" w:ascii="宋体" w:hAnsi="宋体" w:cs="宋体"/>
          <w:sz w:val="24"/>
        </w:rPr>
        <w:t>2021年，区融媒体中心围绕部门职责的要求，在舆论宣传方面，编发《青浦报》104期、484个版面，完成313期《青浦新闻》和52期《新闻集锦》头像及配音、广播，313期《青广新闻》播音及审核、313期《社会视点》编播及审核，全年完成58次APP直播，“绿色青浦”APP发布5412条，“绿色青浦”微信发布5304条，“绿色青浦”微博发布18632条。在平台建设方面，中心整合党政部门信息资源，对接党政部门技术平台，提供一站式政务服务，打造“指尖上的政务服务中心”，完成“青浦区媒体融合信息化平台建设项目”的建设；完成电视转播车的技术验收和后续上牌工作，并利用转播车支撑2021年度幸福社区、进博会、党代会等重要会议及活动。在队伍建设方面，2021年首次评审评定区2021--2023年度“首席新闻传媒人才”10名、“名优新闻传媒人才”17名，举办区无人机航拍培训班，积极与央媒、市媒定期开展业务交流培训。2021年“绿色青浦”客户端全年下载量突破121万次，较2020年增加45万次，“绿色青浦”微信公众号粉丝数超45万，较2020增加30万，全年阅读量超过1万的稿件达到82条，绿色青浦的影响力不断提升，实现了“一次采集、多种生成、全媒传播”的效果，逐渐成为青浦区主流舆论阵地、综合服务平台和社区信息枢纽。但是中心在中长期规划、预算编制、编外人员管理、采购管理、合同管理等方面存在不足，在一定程度上影响了部门履职效果。</w:t>
      </w:r>
    </w:p>
    <w:p>
      <w:pPr>
        <w:spacing w:after="156" w:afterLines="50" w:line="360" w:lineRule="auto"/>
        <w:ind w:firstLine="480" w:firstLineChars="200"/>
        <w:outlineLvl w:val="0"/>
        <w:rPr>
          <w:rFonts w:ascii="宋体" w:hAnsi="宋体" w:cs="宋体"/>
          <w:sz w:val="24"/>
        </w:rPr>
      </w:pPr>
      <w:r>
        <w:rPr>
          <w:rFonts w:hint="eastAsia" w:ascii="宋体" w:hAnsi="宋体" w:cs="宋体"/>
          <w:sz w:val="24"/>
        </w:rPr>
        <w:t>四、主要经验</w:t>
      </w:r>
    </w:p>
    <w:p>
      <w:pPr>
        <w:spacing w:after="156" w:afterLines="50" w:line="360" w:lineRule="auto"/>
        <w:ind w:firstLine="480" w:firstLineChars="200"/>
        <w:rPr>
          <w:rFonts w:ascii="宋体" w:hAnsi="宋体" w:cs="宋体"/>
          <w:sz w:val="24"/>
        </w:rPr>
      </w:pPr>
      <w:r>
        <w:rPr>
          <w:rFonts w:hint="eastAsia" w:ascii="宋体" w:hAnsi="宋体" w:cs="宋体"/>
          <w:sz w:val="24"/>
        </w:rPr>
        <w:t>（一）建立“1+11+X”融媒体集群工作框架，实现上下联动、实时统筹、同步推送，形成宣传声势</w:t>
      </w:r>
    </w:p>
    <w:p>
      <w:pPr>
        <w:spacing w:after="156" w:afterLines="50" w:line="360" w:lineRule="auto"/>
        <w:ind w:firstLine="480" w:firstLineChars="200"/>
        <w:rPr>
          <w:rFonts w:ascii="宋体" w:hAnsi="宋体" w:cs="宋体"/>
          <w:sz w:val="24"/>
        </w:rPr>
      </w:pPr>
      <w:r>
        <w:rPr>
          <w:rFonts w:hint="eastAsia" w:ascii="宋体" w:hAnsi="宋体" w:cs="宋体"/>
          <w:sz w:val="24"/>
        </w:rPr>
        <w:t>中心建立了工作网络及联动机制，在全区打造以区融媒体中心为引领、紧密联通、协同互动的“1+11+X”融媒体集群工作框架，在集群内实现上下联动、实时统筹、同步推送，形成宣传声势。充分整合各街镇新闻中心、报社、文体中心等本级新闻采写力量，积极建设街镇级新闻宣传阵地，综合运用多个终端，最广泛地引导和服务群众。</w:t>
      </w:r>
    </w:p>
    <w:p>
      <w:pPr>
        <w:spacing w:after="156" w:afterLines="50" w:line="360" w:lineRule="auto"/>
        <w:ind w:firstLine="480" w:firstLineChars="200"/>
        <w:outlineLvl w:val="1"/>
        <w:rPr>
          <w:rFonts w:ascii="宋体" w:hAnsi="宋体" w:cs="宋体"/>
          <w:sz w:val="24"/>
        </w:rPr>
      </w:pPr>
      <w:r>
        <w:rPr>
          <w:rFonts w:hint="eastAsia" w:ascii="宋体" w:hAnsi="宋体" w:cs="宋体"/>
          <w:sz w:val="24"/>
        </w:rPr>
        <w:t>（二）探索建设适合融媒体的信息化系统，有效提升工作效率</w:t>
      </w:r>
    </w:p>
    <w:p>
      <w:pPr>
        <w:spacing w:after="156" w:afterLines="50" w:line="360" w:lineRule="auto"/>
        <w:ind w:firstLine="480" w:firstLineChars="200"/>
        <w:rPr>
          <w:rFonts w:ascii="宋体" w:hAnsi="宋体" w:cs="宋体"/>
          <w:sz w:val="24"/>
        </w:rPr>
      </w:pPr>
      <w:r>
        <w:rPr>
          <w:rFonts w:hint="eastAsia" w:ascii="宋体" w:hAnsi="宋体" w:cs="宋体"/>
          <w:sz w:val="24"/>
        </w:rPr>
        <w:t>区融媒体中心依托市级指定统一技术平台，积极实施适应媒体融合发展工作需要的信息化项目，包括基础网络信息技术支撑系统、融媒体指挥调度系统、融媒体采编综合业务服务、绩效考核系统、综合服务管理系统、协同管理系统、统一运营管理服务系统、移动新媒体产品，有效提高部门工作效率。</w:t>
      </w:r>
    </w:p>
    <w:p>
      <w:pPr>
        <w:spacing w:after="156" w:afterLines="50" w:line="360" w:lineRule="auto"/>
        <w:ind w:firstLine="480" w:firstLineChars="200"/>
        <w:outlineLvl w:val="0"/>
        <w:rPr>
          <w:rFonts w:ascii="宋体" w:hAnsi="宋体" w:cs="宋体"/>
          <w:sz w:val="24"/>
        </w:rPr>
      </w:pPr>
      <w:r>
        <w:rPr>
          <w:rFonts w:hint="eastAsia" w:ascii="宋体" w:hAnsi="宋体" w:cs="宋体"/>
          <w:sz w:val="24"/>
        </w:rPr>
        <w:t>五、存在问题</w:t>
      </w:r>
    </w:p>
    <w:p>
      <w:pPr>
        <w:spacing w:after="156" w:afterLines="50" w:line="360" w:lineRule="auto"/>
        <w:ind w:firstLine="480" w:firstLineChars="200"/>
        <w:rPr>
          <w:rFonts w:ascii="宋体" w:hAnsi="宋体" w:cs="宋体"/>
          <w:sz w:val="24"/>
        </w:rPr>
      </w:pPr>
      <w:bookmarkStart w:id="0" w:name="_Hlk108531812"/>
      <w:r>
        <w:rPr>
          <w:rFonts w:hint="eastAsia" w:ascii="宋体" w:hAnsi="宋体" w:cs="宋体"/>
          <w:sz w:val="24"/>
        </w:rPr>
        <w:t>（一）未编制中心中长期规划，较难凸显部门履职的发展方向、中心的传播力和影响力尚需提升</w:t>
      </w:r>
    </w:p>
    <w:p>
      <w:pPr>
        <w:spacing w:after="156" w:afterLines="50" w:line="360" w:lineRule="auto"/>
        <w:ind w:firstLine="480" w:firstLineChars="200"/>
        <w:rPr>
          <w:rFonts w:ascii="宋体" w:hAnsi="宋体" w:cs="宋体"/>
          <w:sz w:val="24"/>
        </w:rPr>
      </w:pPr>
      <w:r>
        <w:rPr>
          <w:rFonts w:hint="eastAsia" w:ascii="宋体" w:hAnsi="宋体" w:cs="宋体"/>
          <w:sz w:val="24"/>
        </w:rPr>
        <w:t>区融媒体中心在2019年成立之初，由区委宣传部制定了《青浦区融媒体中心建设的实施方案》，对中心建设初期进行了规划，但初期目标达成后，中心没有针对3-5年的工作提出中长期规划，也没有针对中长期发展工作任务建立清晰、细化、量化的工作目标，难以凸显部门履职的发展方向。2021年3月-12月，青浦区在全市16个区县的政务媒体影响力和传播力排名中，均排名在10名之外，低于2020年11月（传播力排名第7，影响力第10）排名。</w:t>
      </w:r>
    </w:p>
    <w:p>
      <w:pPr>
        <w:spacing w:after="156" w:afterLines="50" w:line="360" w:lineRule="auto"/>
        <w:ind w:firstLine="480" w:firstLineChars="200"/>
        <w:outlineLvl w:val="1"/>
        <w:rPr>
          <w:rFonts w:ascii="宋体" w:hAnsi="宋体" w:cs="宋体"/>
          <w:sz w:val="24"/>
        </w:rPr>
      </w:pPr>
      <w:r>
        <w:rPr>
          <w:rFonts w:hint="eastAsia" w:ascii="宋体" w:hAnsi="宋体" w:cs="宋体"/>
          <w:sz w:val="24"/>
        </w:rPr>
        <w:t>（二）部门预算管理方面，预算编制存在不合理和调整幅度较大</w:t>
      </w:r>
    </w:p>
    <w:p>
      <w:pPr>
        <w:spacing w:after="156" w:afterLines="50" w:line="360" w:lineRule="auto"/>
        <w:ind w:firstLine="480" w:firstLineChars="200"/>
        <w:rPr>
          <w:rFonts w:ascii="宋体" w:hAnsi="宋体" w:cs="宋体"/>
          <w:sz w:val="24"/>
        </w:rPr>
      </w:pPr>
      <w:r>
        <w:rPr>
          <w:rFonts w:hint="eastAsia" w:ascii="宋体" w:hAnsi="宋体" w:cs="宋体"/>
          <w:sz w:val="24"/>
        </w:rPr>
        <w:t>中心2021年部分预算编制存在不合理的情况，包括预算内容细化和量化程度不高、测算的单价和数量与往年工作计划不匹配、未明确具体的实施内容等问题。一是部分项目的预算内容细化和量化的程度有待完善，项目实施计划与实际存在一定偏差，如：“媒体合作费”等4个项目，无具体的单价和数量测算，也未列明具体的工作计划；二是部分项目预算单价较高，与设定的工作计划不匹配，如：“短视频服务费”项目预算金额300万元，以每分钟2万元单价，时长150分钟进行测算，测算单价偏高，制作时长也与往年工作计划不匹配；三是部分项目的子项目无明确实施内容，如：“节目研发、包装和宣传”一级项目下的“主持人化妆及服装费”项目中存在“其他”子项，无明确实施内容。另外，2021年中心由于广电专业设备采购项目实施过程中遇到不可控因素，导致预算调整幅度较大。</w:t>
      </w:r>
    </w:p>
    <w:p>
      <w:pPr>
        <w:spacing w:after="156" w:afterLines="50" w:line="360" w:lineRule="auto"/>
        <w:ind w:firstLine="480" w:firstLineChars="200"/>
        <w:outlineLvl w:val="1"/>
        <w:rPr>
          <w:rFonts w:ascii="宋体" w:hAnsi="宋体" w:cs="宋体"/>
          <w:sz w:val="24"/>
        </w:rPr>
      </w:pPr>
      <w:r>
        <w:rPr>
          <w:rFonts w:hint="eastAsia" w:ascii="宋体" w:hAnsi="宋体" w:cs="宋体"/>
          <w:sz w:val="24"/>
        </w:rPr>
        <w:t>（三）在人事管理方面，编外人员清退工作尚未完成</w:t>
      </w:r>
    </w:p>
    <w:p>
      <w:pPr>
        <w:spacing w:after="156" w:afterLines="50" w:line="360" w:lineRule="auto"/>
        <w:ind w:firstLine="480" w:firstLineChars="200"/>
        <w:rPr>
          <w:rFonts w:ascii="宋体" w:hAnsi="宋体" w:cs="宋体"/>
          <w:sz w:val="24"/>
        </w:rPr>
      </w:pPr>
      <w:r>
        <w:rPr>
          <w:rFonts w:hint="eastAsia" w:ascii="宋体" w:hAnsi="宋体" w:cs="宋体"/>
          <w:sz w:val="24"/>
        </w:rPr>
        <w:t>中心对于区人社局要求的编外人员清退工作尚未全部完成。根据区人社局2020年2月13日的通知，区融媒体中心编外人员21名，其中12名为经批准留用人员，剩余9人为拟清退人员。2021年1月，中心由于1名非编人员退休，又新进1名非编人员。截至2022年6月底，中心已于2022年6月解约清退3人，其余人员拟逐步清退。</w:t>
      </w:r>
    </w:p>
    <w:p>
      <w:pPr>
        <w:spacing w:after="156" w:afterLines="50" w:line="360" w:lineRule="auto"/>
        <w:ind w:firstLine="480" w:firstLineChars="200"/>
        <w:rPr>
          <w:rFonts w:ascii="宋体" w:hAnsi="宋体" w:cs="宋体"/>
          <w:sz w:val="24"/>
        </w:rPr>
      </w:pPr>
      <w:r>
        <w:rPr>
          <w:rFonts w:hint="eastAsia" w:ascii="宋体" w:hAnsi="宋体" w:cs="宋体"/>
          <w:sz w:val="24"/>
        </w:rPr>
        <w:t>（四）采购和合同管理方面，部分项目的招标需求较为模糊、业务开展先于招标工作、合同验收条款不明确</w:t>
      </w:r>
    </w:p>
    <w:p>
      <w:pPr>
        <w:spacing w:after="156" w:afterLines="50" w:line="360" w:lineRule="auto"/>
        <w:ind w:firstLine="480" w:firstLineChars="200"/>
        <w:rPr>
          <w:rFonts w:ascii="宋体" w:hAnsi="宋体" w:cs="宋体"/>
          <w:sz w:val="24"/>
        </w:rPr>
      </w:pPr>
      <w:r>
        <w:rPr>
          <w:rFonts w:hint="eastAsia" w:ascii="宋体" w:hAnsi="宋体" w:cs="宋体"/>
          <w:sz w:val="24"/>
        </w:rPr>
        <w:t>“短视频服务费”项目中招标需求较为模糊，招标需求无具体的量化数据，中标供应商投标的实施方案未列示具体的制作方案，完成数量、完成时间以及质量标准。且该项目供应商于招标之前已开始制作工作，造成合同约定的服务期间与项目实施的时间存在不一致。同时，部分项目的质量考核机制在合同中约定不完善。如：“移动短视频”项目、中心物业管理合同中缺少服务质量验收标准，合同支付未与服务质量挂钩，缺乏对服务质量的约束。</w:t>
      </w:r>
    </w:p>
    <w:p>
      <w:pPr>
        <w:spacing w:after="156" w:afterLines="50" w:line="360" w:lineRule="auto"/>
        <w:ind w:firstLine="480" w:firstLineChars="200"/>
        <w:outlineLvl w:val="1"/>
        <w:rPr>
          <w:rFonts w:ascii="宋体" w:hAnsi="宋体" w:cs="宋体"/>
          <w:sz w:val="24"/>
        </w:rPr>
      </w:pPr>
      <w:r>
        <w:rPr>
          <w:rFonts w:hint="eastAsia" w:ascii="宋体" w:hAnsi="宋体" w:cs="宋体"/>
          <w:sz w:val="24"/>
        </w:rPr>
        <w:t>（五）预算绩效管理方面，申报的绩效指标合理性不足、自评及整改存在不完善的地方</w:t>
      </w:r>
    </w:p>
    <w:p>
      <w:pPr>
        <w:spacing w:after="156" w:afterLines="50" w:line="360" w:lineRule="auto"/>
        <w:ind w:firstLine="480" w:firstLineChars="200"/>
        <w:rPr>
          <w:rFonts w:ascii="宋体" w:hAnsi="宋体" w:cs="宋体"/>
          <w:sz w:val="24"/>
        </w:rPr>
      </w:pPr>
      <w:r>
        <w:rPr>
          <w:rFonts w:hint="eastAsia" w:ascii="宋体" w:hAnsi="宋体" w:cs="宋体"/>
          <w:sz w:val="24"/>
        </w:rPr>
        <w:t>在目标编制方面，存在指标不完善、指标归类有误等问题，较难与部门年度的任务数或计划数相对应，如：部门整体目标中产出中数量指标填报为“（融媒体中心正常运行）完成率”，目标值填写为“100%”,无法准确体现中心的年度完成工作；在自评工作方面，存在权重赋分不合理、评分规则未填写、跟踪指标不到位、存在问题未整改的情况，如：“广电系统专业设备采购”项目中，“设备使用率”指标赋予权重分24分，权重赋分较高；“受众满意度”指标未填写评分规则，无法获知打分的过程；“印刷费”（报纸）中，未对产出指标进行跟踪，无法体现项目实际的完成情况。同时，针对在自评中提出的问题，未能进行整改，预算绩效管理工作有待进一步完善。</w:t>
      </w:r>
    </w:p>
    <w:p>
      <w:pPr>
        <w:spacing w:after="156" w:afterLines="50" w:line="360" w:lineRule="auto"/>
        <w:ind w:firstLine="480" w:firstLineChars="200"/>
        <w:outlineLvl w:val="1"/>
        <w:rPr>
          <w:rFonts w:ascii="宋体" w:hAnsi="宋体" w:cs="宋体"/>
          <w:sz w:val="24"/>
        </w:rPr>
      </w:pPr>
      <w:r>
        <w:rPr>
          <w:rFonts w:hint="eastAsia" w:ascii="宋体" w:hAnsi="宋体" w:cs="宋体"/>
          <w:sz w:val="24"/>
        </w:rPr>
        <w:t>（六）部门产出方面，因工作人员疏忽，广播电视全年发生播出事故2次</w:t>
      </w:r>
    </w:p>
    <w:p>
      <w:pPr>
        <w:spacing w:after="156" w:afterLines="50" w:line="360" w:lineRule="auto"/>
        <w:ind w:firstLine="480" w:firstLineChars="200"/>
        <w:rPr>
          <w:rFonts w:ascii="宋体" w:hAnsi="宋体" w:cs="宋体"/>
          <w:sz w:val="24"/>
        </w:rPr>
      </w:pPr>
      <w:r>
        <w:rPr>
          <w:rFonts w:hint="eastAsia" w:ascii="宋体" w:hAnsi="宋体" w:cs="宋体"/>
          <w:sz w:val="24"/>
        </w:rPr>
        <w:t>2021年6月4日区融媒体中心地面数字停播事故，造成地面数字电视停播时长达22分27秒。8月5日区融媒体中心电视频道出现无关画面的情况，造成电视频道转播中央台《新闻联播》前出现12帧左右无关画面。上述事故均因工作人员疏忽导致。</w:t>
      </w:r>
    </w:p>
    <w:bookmarkEnd w:id="0"/>
    <w:p>
      <w:pPr>
        <w:spacing w:after="156" w:afterLines="50" w:line="360" w:lineRule="auto"/>
        <w:ind w:firstLine="480" w:firstLineChars="200"/>
        <w:outlineLvl w:val="0"/>
        <w:rPr>
          <w:rFonts w:ascii="宋体" w:hAnsi="宋体" w:cs="宋体"/>
          <w:sz w:val="24"/>
        </w:rPr>
      </w:pPr>
      <w:r>
        <w:rPr>
          <w:rFonts w:hint="eastAsia" w:ascii="宋体" w:hAnsi="宋体" w:cs="宋体"/>
          <w:sz w:val="24"/>
        </w:rPr>
        <w:t>六、相关建议</w:t>
      </w:r>
    </w:p>
    <w:p>
      <w:pPr>
        <w:spacing w:after="156" w:afterLines="50" w:line="360" w:lineRule="auto"/>
        <w:ind w:firstLine="480" w:firstLineChars="200"/>
        <w:outlineLvl w:val="1"/>
        <w:rPr>
          <w:rFonts w:ascii="宋体" w:hAnsi="宋体" w:cs="宋体"/>
          <w:sz w:val="24"/>
        </w:rPr>
      </w:pPr>
      <w:r>
        <w:rPr>
          <w:rFonts w:hint="eastAsia" w:ascii="宋体" w:hAnsi="宋体" w:cs="宋体"/>
          <w:sz w:val="24"/>
        </w:rPr>
        <w:t>（一）明确部门中长期规划，促进中心传播力和影响力提升</w:t>
      </w:r>
    </w:p>
    <w:p>
      <w:pPr>
        <w:spacing w:after="156" w:afterLines="50" w:line="360" w:lineRule="auto"/>
        <w:ind w:firstLine="480" w:firstLineChars="200"/>
        <w:rPr>
          <w:rFonts w:ascii="宋体" w:hAnsi="宋体" w:cs="宋体"/>
          <w:sz w:val="24"/>
        </w:rPr>
      </w:pPr>
      <w:r>
        <w:rPr>
          <w:rFonts w:hint="eastAsia" w:ascii="宋体" w:hAnsi="宋体" w:cs="宋体"/>
          <w:sz w:val="24"/>
        </w:rPr>
        <w:t>建议区融媒体中心结合《青浦区融媒体中心建设的实施方案》和近三年的工作特点，制定部门中长期规划，明确中长期的目标工作。同时，根据中长期规划的工作目标，分解至相关年度，制定年度工作计划，突显部门工作特点，从而不断提升部门履职效果。</w:t>
      </w:r>
    </w:p>
    <w:p>
      <w:pPr>
        <w:spacing w:after="156" w:afterLines="50" w:line="360" w:lineRule="auto"/>
        <w:ind w:firstLine="480" w:firstLineChars="200"/>
        <w:rPr>
          <w:rFonts w:ascii="宋体" w:hAnsi="宋体" w:cs="宋体"/>
          <w:sz w:val="24"/>
        </w:rPr>
      </w:pPr>
      <w:r>
        <w:rPr>
          <w:rFonts w:hint="eastAsia" w:ascii="宋体" w:hAnsi="宋体" w:cs="宋体"/>
          <w:sz w:val="24"/>
        </w:rPr>
        <w:t>同时，围绕现阶段部门履职的薄弱环节，明确未来三年的可量化、可考核的工作目标和重点工作绩效目标，制定明确的部门绩效目标，并按照上级要求制定符合部门职能及规划、符合工作计划、符合预算以及符合行业要求设定目标值，聚焦各主流新媒体平台，进一步提升绿色青浦的传播力和影响力。同时，建议区融媒体中心开展行业交流学习，借鉴优势和能够进一步提升工作的方法，优化部门工作规划。</w:t>
      </w:r>
    </w:p>
    <w:p>
      <w:pPr>
        <w:spacing w:after="156" w:afterLines="50" w:line="360" w:lineRule="auto"/>
        <w:ind w:firstLine="480" w:firstLineChars="200"/>
        <w:outlineLvl w:val="1"/>
        <w:rPr>
          <w:rFonts w:ascii="宋体" w:hAnsi="宋体" w:cs="宋体"/>
          <w:sz w:val="24"/>
        </w:rPr>
      </w:pPr>
      <w:r>
        <w:rPr>
          <w:rFonts w:hint="eastAsia" w:ascii="宋体" w:hAnsi="宋体" w:cs="宋体"/>
          <w:sz w:val="24"/>
        </w:rPr>
        <w:t>（二）科学合理确定预算单价和数量，明确子项目的实施内容，及时对预算进行调整</w:t>
      </w:r>
    </w:p>
    <w:p>
      <w:pPr>
        <w:spacing w:after="156" w:afterLines="50" w:line="360" w:lineRule="auto"/>
        <w:ind w:firstLine="480" w:firstLineChars="200"/>
        <w:rPr>
          <w:rFonts w:ascii="宋体" w:hAnsi="宋体" w:cs="宋体"/>
          <w:sz w:val="24"/>
        </w:rPr>
      </w:pPr>
      <w:r>
        <w:rPr>
          <w:rFonts w:hint="eastAsia" w:ascii="宋体" w:hAnsi="宋体" w:cs="宋体"/>
          <w:sz w:val="24"/>
        </w:rPr>
        <w:t>对各项目具体的实施内容进行明确的量化和细化，如：视频制作类项目，将项目具体到开展制作视频的次数或时长、视频制作单价以及视频制作的时间要求，将预算金额与项目具体实施内容相匹配；活动类和培训类项目，明确活动举办的场次、时长，每次需要耗费的物料及人员安排情况；明确后按照市场询价的单价乘以相应的数量得到相应预算金额。</w:t>
      </w:r>
    </w:p>
    <w:p>
      <w:pPr>
        <w:spacing w:after="156" w:afterLines="50" w:line="360" w:lineRule="auto"/>
        <w:ind w:firstLine="480" w:firstLineChars="200"/>
        <w:rPr>
          <w:rFonts w:ascii="宋体" w:hAnsi="宋体" w:cs="宋体"/>
          <w:sz w:val="24"/>
        </w:rPr>
      </w:pPr>
      <w:r>
        <w:rPr>
          <w:rFonts w:hint="eastAsia" w:ascii="宋体" w:hAnsi="宋体" w:cs="宋体"/>
          <w:sz w:val="24"/>
        </w:rPr>
        <w:t>对于事前难以准确预计的项目，建议加强对项目历史数据的分析，提高预算编制的准确性，并在实施过程中加强跟踪，及时调整预算。</w:t>
      </w:r>
    </w:p>
    <w:p>
      <w:pPr>
        <w:spacing w:after="156" w:afterLines="50" w:line="360" w:lineRule="auto"/>
        <w:ind w:firstLine="480" w:firstLineChars="200"/>
        <w:outlineLvl w:val="1"/>
        <w:rPr>
          <w:rFonts w:ascii="宋体" w:hAnsi="宋体" w:cs="宋体"/>
          <w:sz w:val="24"/>
        </w:rPr>
      </w:pPr>
      <w:r>
        <w:rPr>
          <w:rFonts w:hint="eastAsia" w:ascii="宋体" w:hAnsi="宋体" w:cs="宋体"/>
          <w:sz w:val="24"/>
        </w:rPr>
        <w:t>（三）加快非编人员的清退工作，规范编外人员的人事管理</w:t>
      </w:r>
    </w:p>
    <w:p>
      <w:pPr>
        <w:spacing w:after="156" w:afterLines="50" w:line="360" w:lineRule="auto"/>
        <w:ind w:firstLine="480" w:firstLineChars="200"/>
        <w:rPr>
          <w:rFonts w:ascii="宋体" w:hAnsi="宋体" w:cs="宋体"/>
          <w:sz w:val="24"/>
        </w:rPr>
      </w:pPr>
      <w:r>
        <w:rPr>
          <w:rFonts w:hint="eastAsia" w:ascii="宋体" w:hAnsi="宋体" w:cs="宋体"/>
          <w:sz w:val="24"/>
        </w:rPr>
        <w:t>中心进一步规范编外人员的人事管理，非经批准不录用编外人员，同时严格按照区人社局和区财政局的通知，加快清退中心非编人员，妥善制定清退方案，为清退人员提供分流方向，并按照劳动法律法规进行补偿，相关工作进展情况及时上报区相关部门。</w:t>
      </w:r>
    </w:p>
    <w:p>
      <w:pPr>
        <w:spacing w:after="156" w:afterLines="50" w:line="360" w:lineRule="auto"/>
        <w:ind w:firstLine="480" w:firstLineChars="200"/>
        <w:outlineLvl w:val="1"/>
        <w:rPr>
          <w:rFonts w:ascii="宋体" w:hAnsi="宋体" w:cs="宋体"/>
          <w:sz w:val="24"/>
        </w:rPr>
      </w:pPr>
      <w:r>
        <w:rPr>
          <w:rFonts w:hint="eastAsia" w:ascii="宋体" w:hAnsi="宋体" w:cs="宋体"/>
          <w:sz w:val="24"/>
        </w:rPr>
        <w:t>（四）采购前明确项目的具体需求，完善项目的考核验收环节</w:t>
      </w:r>
    </w:p>
    <w:p>
      <w:pPr>
        <w:spacing w:after="156" w:afterLines="50" w:line="360" w:lineRule="auto"/>
        <w:ind w:firstLine="480" w:firstLineChars="200"/>
        <w:rPr>
          <w:rFonts w:ascii="宋体" w:hAnsi="宋体" w:cs="宋体"/>
          <w:sz w:val="24"/>
        </w:rPr>
      </w:pPr>
      <w:r>
        <w:rPr>
          <w:rFonts w:hint="eastAsia" w:ascii="宋体" w:hAnsi="宋体" w:cs="宋体"/>
          <w:sz w:val="24"/>
        </w:rPr>
        <w:t>建议中心在预算编制时明确项目相应的实施方案，科学合理制定可量化且具有可衡量标准的实施需求，避免因需求模糊导致服务质量下降，对资产采购类项目，从实际需要出发，从严控制，合理配置，通过市场询价了解相应的单价和采购的数量。同时，建议中心在委托合同中明确合同的验收和考核内容，并加强过程监督内容，将考核验收结果与合同支付金额挂钩，督促第三方勤勉尽职地完成委托内容。加强委托合同的审核工作，对涉及服务期限的事项需要明确，避免因服务期差异，引起合同无法及时履行。</w:t>
      </w:r>
    </w:p>
    <w:p>
      <w:pPr>
        <w:spacing w:after="156" w:afterLines="50" w:line="360" w:lineRule="auto"/>
        <w:ind w:firstLine="480" w:firstLineChars="200"/>
        <w:outlineLvl w:val="1"/>
        <w:rPr>
          <w:rFonts w:ascii="宋体" w:hAnsi="宋体" w:cs="宋体"/>
          <w:sz w:val="24"/>
        </w:rPr>
      </w:pPr>
      <w:r>
        <w:rPr>
          <w:rFonts w:hint="eastAsia" w:ascii="宋体" w:hAnsi="宋体" w:cs="宋体"/>
          <w:sz w:val="24"/>
        </w:rPr>
        <w:t>（五）将绩效理念和方法深度融入预算管理各环节，加强绩效管理结果应用</w:t>
      </w:r>
    </w:p>
    <w:p>
      <w:pPr>
        <w:spacing w:after="156" w:afterLines="50" w:line="360" w:lineRule="auto"/>
        <w:ind w:firstLine="480" w:firstLineChars="200"/>
        <w:rPr>
          <w:rFonts w:ascii="宋体" w:hAnsi="宋体" w:cs="宋体"/>
          <w:sz w:val="24"/>
        </w:rPr>
      </w:pPr>
      <w:r>
        <w:rPr>
          <w:rFonts w:hint="eastAsia" w:ascii="宋体" w:hAnsi="宋体" w:cs="宋体"/>
          <w:sz w:val="24"/>
        </w:rPr>
        <w:t>各部门要建立上下协调、部门联动、层层抓落实的工作责任制，完善制度保障体系。中心经济发行部负责预算绩效管理的总体规划、制度设计和组织推动，重点关注重大政策和项目绩效管理，突出抓好本单位整体绩效。单位各部门组织实施本部门全过程预算绩效管理，严格按规定组织实施本部门绩效目标、绩效运行监控、绩效评价等预算绩效管理工作。</w:t>
      </w:r>
    </w:p>
    <w:p>
      <w:pPr>
        <w:spacing w:after="156" w:afterLines="50" w:line="360" w:lineRule="auto"/>
        <w:ind w:firstLine="480" w:firstLineChars="200"/>
        <w:rPr>
          <w:rFonts w:ascii="宋体" w:hAnsi="宋体" w:cs="宋体"/>
          <w:sz w:val="24"/>
        </w:rPr>
      </w:pPr>
      <w:r>
        <w:rPr>
          <w:rFonts w:hint="eastAsia" w:ascii="宋体" w:hAnsi="宋体" w:cs="宋体"/>
          <w:sz w:val="24"/>
        </w:rPr>
        <w:t>健全完善绩效管理结果反馈制度和问题整改责任制，加快形成结果反馈、问题整改、绩效提升的良性循环，不断强化刚性约束。进一步加强绩效跟踪及自评价结果的整改落实，明确整改时间节点，形成整改报告，将整改结果应用于财务管理和资金管理方面，充分体现绩效管理的作用。</w:t>
      </w:r>
    </w:p>
    <w:p>
      <w:pPr>
        <w:spacing w:after="156" w:afterLines="50" w:line="360" w:lineRule="auto"/>
        <w:ind w:firstLine="480" w:firstLineChars="200"/>
        <w:outlineLvl w:val="1"/>
        <w:rPr>
          <w:rFonts w:ascii="宋体" w:hAnsi="宋体" w:cs="宋体"/>
          <w:sz w:val="24"/>
        </w:rPr>
      </w:pPr>
      <w:r>
        <w:rPr>
          <w:rFonts w:hint="eastAsia" w:ascii="宋体" w:hAnsi="宋体" w:cs="宋体"/>
          <w:sz w:val="24"/>
        </w:rPr>
        <w:t>（六）深刻吸取教训，确保广播电视安全播出</w:t>
      </w:r>
    </w:p>
    <w:p>
      <w:pPr>
        <w:spacing w:after="156" w:afterLines="50" w:line="360" w:lineRule="auto"/>
        <w:ind w:firstLine="480" w:firstLineChars="200"/>
        <w:rPr>
          <w:rFonts w:ascii="宋体" w:hAnsi="宋体" w:cs="宋体"/>
          <w:sz w:val="24"/>
        </w:rPr>
      </w:pPr>
      <w:r>
        <w:rPr>
          <w:rFonts w:hint="eastAsia" w:ascii="宋体" w:hAnsi="宋体" w:cs="宋体"/>
          <w:sz w:val="24"/>
        </w:rPr>
        <w:t>建议中心进一步完善安全播出领导带班制度，明确位置、方式和时间等具体要素，实施全过程巡查监督工作。进一步完善安全播出值机值守制度，加强应急演练。提高安全播出保障工作例会频次，对值机人员开展思想教育，提高对安全播出保障工作政治性和重要性的认识。</w:t>
      </w:r>
    </w:p>
    <w:p>
      <w:pPr>
        <w:spacing w:after="156" w:afterLines="50" w:line="360" w:lineRule="auto"/>
        <w:ind w:firstLine="480" w:firstLineChars="200"/>
        <w:outlineLvl w:val="0"/>
        <w:rPr>
          <w:rFonts w:ascii="宋体" w:hAnsi="宋体" w:cs="宋体"/>
          <w:sz w:val="24"/>
        </w:rPr>
      </w:pPr>
      <w:r>
        <w:rPr>
          <w:rFonts w:hint="eastAsia" w:ascii="宋体" w:hAnsi="宋体" w:cs="宋体"/>
          <w:sz w:val="24"/>
        </w:rPr>
        <w:t>七、其他说明的事项</w:t>
      </w:r>
    </w:p>
    <w:p>
      <w:pPr>
        <w:spacing w:after="156" w:afterLines="50" w:line="360" w:lineRule="auto"/>
        <w:ind w:firstLine="480" w:firstLineChars="200"/>
        <w:rPr>
          <w:rFonts w:ascii="宋体" w:hAnsi="宋体" w:cs="宋体"/>
          <w:sz w:val="24"/>
        </w:rPr>
      </w:pPr>
      <w:r>
        <w:rPr>
          <w:rFonts w:hint="eastAsia" w:ascii="宋体" w:hAnsi="宋体" w:cs="宋体"/>
          <w:sz w:val="24"/>
        </w:rPr>
        <w:t>截至2022年6月，区融媒体中心调整前预算项目19个，预算总金额4523.76万元，由于受疫情及工作计划调整的影响，评价组建议核减预算1204.29万元，调整后预算资金为3319.47万元。</w:t>
      </w:r>
    </w:p>
    <w:p>
      <w:pPr>
        <w:spacing w:after="156" w:afterLines="50" w:line="360" w:lineRule="auto"/>
        <w:ind w:firstLine="480" w:firstLineChars="200"/>
        <w:outlineLvl w:val="0"/>
        <w:rPr>
          <w:rFonts w:ascii="宋体" w:hAnsi="宋体" w:cs="宋体"/>
          <w:sz w:val="24"/>
        </w:rPr>
      </w:pPr>
      <w:r>
        <w:rPr>
          <w:rFonts w:hint="eastAsia" w:ascii="宋体" w:hAnsi="宋体" w:cs="宋体"/>
          <w:sz w:val="24"/>
        </w:rPr>
        <w:t>八、结果应用情况</w:t>
      </w:r>
    </w:p>
    <w:p>
      <w:pPr>
        <w:spacing w:after="156" w:afterLines="50" w:line="360" w:lineRule="auto"/>
        <w:ind w:firstLine="480" w:firstLineChars="200"/>
        <w:rPr>
          <w:rFonts w:ascii="宋体" w:hAnsi="宋体" w:cs="宋体"/>
          <w:sz w:val="24"/>
        </w:rPr>
      </w:pPr>
      <w:r>
        <w:rPr>
          <w:rFonts w:hint="eastAsia" w:ascii="宋体" w:hAnsi="宋体" w:cs="宋体"/>
          <w:sz w:val="24"/>
        </w:rPr>
        <w:t>（一）部门中长期规划方面：</w:t>
      </w:r>
      <w:r>
        <w:rPr>
          <w:rFonts w:hint="eastAsia" w:ascii="宋体" w:hAnsi="宋体" w:cs="宋体"/>
          <w:sz w:val="24"/>
          <w:lang w:val="en-US" w:eastAsia="zh-CN"/>
        </w:rPr>
        <w:t>区融媒体</w:t>
      </w:r>
      <w:r>
        <w:rPr>
          <w:rFonts w:hint="eastAsia" w:ascii="宋体" w:hAnsi="宋体" w:cs="宋体"/>
          <w:sz w:val="24"/>
        </w:rPr>
        <w:t>中心将以构建“内容建设为根本、先进技术为支撑、创新管理为保障”的全媒体传播体系为主要任务，以弘扬城市精神品格和塑造城市品牌为主攻方向，以内容生产、阵地建设、人才发展为引领，探索制定中长期规划，持续推动媒体深度融合发展，传播力和影响力有效提升。在内容生产方面，以推进主题政治宣传通俗化、重大战略宣传品牌化、专题系列宣传常态化、城市形象宣传精致化为主线，制定年度宣传重点，并根据形势变化确定阶段性目标任务。在阵地建设方面，不断拓展融媒矩阵布局并通过深耕细作、加强联动、培育品牌，进一步提升传播力和影响力。在人才发展方面，制定《青浦区融媒体中心人才发展三年行动计划（2022年-2025年）》，充分依托“青峰”人才政策，重点实施新闻传媒人才发展“三大工程”，在媒体融合大背景下探索实施更多吸引人才、留住人才、用好人才的有效办法。</w:t>
      </w:r>
    </w:p>
    <w:p>
      <w:pPr>
        <w:spacing w:after="156" w:afterLines="50" w:line="360" w:lineRule="auto"/>
        <w:ind w:firstLine="480" w:firstLineChars="200"/>
        <w:rPr>
          <w:rFonts w:ascii="宋体" w:hAnsi="宋体" w:cs="宋体"/>
          <w:sz w:val="24"/>
        </w:rPr>
      </w:pPr>
      <w:r>
        <w:rPr>
          <w:rFonts w:hint="eastAsia" w:ascii="宋体" w:hAnsi="宋体" w:cs="宋体"/>
          <w:sz w:val="24"/>
        </w:rPr>
        <w:t>（二）预算管理方面：为进一步优化预算编制，在项目资金预算编制时加强前期排摸力度，结合排摸结果、次年工作计划、当年项目执行结果进行科学规范编制。对各项目具体的实施内容进行进一步量化和细化，活动类和培训类项目，明确活动举办的场次、时长等，按照市场征询的单价乘以相应的数量得到相应预算金额。对于事前难以准确预计的项目，根据项目历史数据的分析进行预算编制，避免项目推进过程中与预算编制不符的现象发生。同时做到在项目实施过程中加强跟踪，及时调整预算。</w:t>
      </w:r>
    </w:p>
    <w:p>
      <w:pPr>
        <w:spacing w:after="156" w:afterLines="50" w:line="360" w:lineRule="auto"/>
        <w:ind w:firstLine="480" w:firstLineChars="200"/>
        <w:rPr>
          <w:rFonts w:ascii="宋体" w:hAnsi="宋体" w:cs="宋体"/>
          <w:sz w:val="24"/>
        </w:rPr>
      </w:pPr>
      <w:r>
        <w:rPr>
          <w:rFonts w:hint="eastAsia" w:ascii="宋体" w:hAnsi="宋体" w:cs="宋体"/>
          <w:sz w:val="24"/>
        </w:rPr>
        <w:t>（三）人事管理方面：</w:t>
      </w:r>
      <w:r>
        <w:rPr>
          <w:rFonts w:hint="eastAsia" w:ascii="宋体" w:hAnsi="宋体" w:cs="宋体"/>
          <w:sz w:val="24"/>
          <w:lang w:val="en-US" w:eastAsia="zh-CN"/>
        </w:rPr>
        <w:t>区融媒体</w:t>
      </w:r>
      <w:r>
        <w:rPr>
          <w:rFonts w:hint="eastAsia" w:ascii="宋体" w:hAnsi="宋体" w:cs="宋体"/>
          <w:sz w:val="24"/>
        </w:rPr>
        <w:t>中心已于8月底完成了部分非编人员清理工作，与区委编办沟通协商剩余清理对象分流安置方案，待方案通过后，尽快开展相关清理工作。由于清理对象从事采编一线岗位，专业性强，中心将分阶段分步骤清理，在不影响中心正常运转的前提下，尽快完成清理工作。</w:t>
      </w:r>
    </w:p>
    <w:p>
      <w:pPr>
        <w:spacing w:after="156" w:afterLines="50" w:line="360" w:lineRule="auto"/>
        <w:ind w:firstLine="480" w:firstLineChars="200"/>
        <w:rPr>
          <w:rFonts w:ascii="宋体" w:hAnsi="宋体" w:cs="宋体"/>
          <w:sz w:val="24"/>
        </w:rPr>
      </w:pPr>
      <w:r>
        <w:rPr>
          <w:rFonts w:hint="eastAsia" w:ascii="宋体" w:hAnsi="宋体" w:cs="宋体"/>
          <w:sz w:val="24"/>
        </w:rPr>
        <w:t>（四）采购和合同管理方面：</w:t>
      </w:r>
      <w:r>
        <w:rPr>
          <w:rFonts w:hint="eastAsia" w:ascii="宋体" w:hAnsi="宋体" w:cs="宋体"/>
          <w:sz w:val="24"/>
          <w:lang w:val="en-US" w:eastAsia="zh-CN"/>
        </w:rPr>
        <w:t>区融媒体</w:t>
      </w:r>
      <w:r>
        <w:rPr>
          <w:rFonts w:hint="eastAsia" w:ascii="宋体" w:hAnsi="宋体" w:cs="宋体"/>
          <w:sz w:val="24"/>
        </w:rPr>
        <w:t>中心为加强合同管理，严格合同履行，修订完善了《青浦区融媒体中心合同业务管理办法》，并于2022年2月24日组织法务培训，对各部室人员进行合同管理的业务指导，强化意识，提高业务能力。各部室在签订合同时需明确项目具体采购需求、完成时间、考核验收、违约责任等要求。并将合同递交中心法务审核，并由法务出具《青浦区融媒体中心合同法务审核确认单》，同时在拟定合同时对受托方的义务履行设立约束条款。</w:t>
      </w:r>
    </w:p>
    <w:p>
      <w:pPr>
        <w:spacing w:after="156" w:afterLines="50" w:line="360" w:lineRule="auto"/>
        <w:ind w:firstLine="480" w:firstLineChars="200"/>
        <w:rPr>
          <w:rFonts w:ascii="宋体" w:hAnsi="宋体" w:cs="宋体"/>
          <w:sz w:val="24"/>
        </w:rPr>
      </w:pPr>
      <w:r>
        <w:rPr>
          <w:rFonts w:hint="eastAsia" w:ascii="宋体" w:hAnsi="宋体" w:cs="宋体"/>
          <w:sz w:val="24"/>
        </w:rPr>
        <w:t>（五）预算绩效管理方面：</w:t>
      </w:r>
      <w:r>
        <w:rPr>
          <w:rFonts w:hint="eastAsia" w:ascii="宋体" w:hAnsi="宋体" w:cs="宋体"/>
          <w:sz w:val="24"/>
          <w:lang w:val="en-US" w:eastAsia="zh-CN"/>
        </w:rPr>
        <w:t>区融媒体</w:t>
      </w:r>
      <w:r>
        <w:rPr>
          <w:rFonts w:hint="eastAsia" w:ascii="宋体" w:hAnsi="宋体" w:cs="宋体"/>
          <w:sz w:val="24"/>
        </w:rPr>
        <w:t>中心为加强项目资金绩效全过程管理工作，提高项目负责人的绩效管理能力，邀请专业人员对项目的绩效目标申报、绩效跟踪及绩效自评价等方面开展业务指导。对绩效指标进行科学分类，从项目需完成的数量、质量和时效三个维度准确提炼项目的核心产出。提高绩效自评工作的认识，规范开展评价工作，首先针对各条问题制定详细且适当的整改计划，明确整改时间节点，再根据整改计划落实整改并形成整改报告，将整改结果应用于财务管理和资金管理方面，充分体现绩效管理的作用。</w:t>
      </w:r>
    </w:p>
    <w:p>
      <w:pPr>
        <w:spacing w:after="156" w:afterLines="50" w:line="360" w:lineRule="auto"/>
        <w:ind w:firstLine="480" w:firstLineChars="200"/>
        <w:rPr>
          <w:rFonts w:ascii="宋体" w:hAnsi="宋体" w:cs="宋体"/>
          <w:sz w:val="24"/>
        </w:rPr>
      </w:pPr>
      <w:r>
        <w:rPr>
          <w:rFonts w:hint="eastAsia" w:ascii="宋体" w:hAnsi="宋体" w:cs="宋体"/>
          <w:sz w:val="24"/>
        </w:rPr>
        <w:t>（六）部门产出方面</w:t>
      </w:r>
      <w:r>
        <w:rPr>
          <w:rFonts w:hint="eastAsia" w:ascii="宋体" w:hAnsi="宋体" w:cs="宋体"/>
          <w:sz w:val="24"/>
          <w:lang w:eastAsia="zh-CN"/>
        </w:rPr>
        <w:t>：</w:t>
      </w:r>
      <w:r>
        <w:rPr>
          <w:rFonts w:hint="eastAsia" w:ascii="宋体" w:hAnsi="宋体" w:cs="宋体"/>
          <w:sz w:val="24"/>
          <w:lang w:val="en-US" w:eastAsia="zh-CN"/>
        </w:rPr>
        <w:t>区融媒体</w:t>
      </w:r>
      <w:r>
        <w:rPr>
          <w:rFonts w:hint="eastAsia" w:ascii="宋体" w:hAnsi="宋体" w:cs="宋体"/>
          <w:sz w:val="24"/>
        </w:rPr>
        <w:t>中心将进一步完善安全播出各项制度。一是进一步优化广播电视值班操作规程，细化各工作环节颗粒度，明确相关工作的时间节点。二是严格执行全闭环工作流程报告制度。广播、电视值机人员及监督管理人员在填写工作日志的同时，及时在工作群内报告人员到岗、信源检查、节目核查、播单编制及复核、播单审核、播单优化检查、重要节目播出情况、播后收尾等每一个操作步骤实施情况。三是严格执行全闭环工作流程监管制度。依据相关安全播出管理制度，对值机全流程状况、工作日志填写、日常运维等开展日常监督检查和抽查，完善信息通报制度，采用周报、月报等形式逐级上报，进一步加强分析研判与安全管理。四是继续实行重保期领导带班制度，采用“一竿子插到底”方式，加强靠前指挥和应急调度。五是进一步加强应急演练，在常态化演练中增设人为编单错误、主路信源突发异常等模拟演练科目，并以黑盒演练的方式，强化值机人员应急处置能力。</w:t>
      </w:r>
    </w:p>
    <w:p>
      <w:pPr>
        <w:pStyle w:val="2"/>
        <w:spacing w:after="156" w:afterLines="50" w:line="360" w:lineRule="auto"/>
        <w:ind w:firstLine="480"/>
        <w:rPr>
          <w:rFonts w:hAnsi="宋体" w:cs="宋体"/>
          <w:sz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pict>
        <v:shape id="_x0000_s3073" o:spid="_x0000_s3073"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pStyle w:val="7"/>
                </w:pPr>
                <w:r>
                  <w:fldChar w:fldCharType="begin"/>
                </w:r>
                <w:r>
                  <w:instrText xml:space="preserve"> PAGE  \* MERGEFORMAT </w:instrText>
                </w:r>
                <w:r>
                  <w:fldChar w:fldCharType="separate"/>
                </w:r>
                <w:r>
                  <w:t>7</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WMwMmM1ODlkMDIwZmY4NWY2MTk1Yjk5ZDlhZDAwNTkifQ=="/>
    <w:docVar w:name="KSO_WPS_MARK_KEY" w:val="0a65afd5-ef84-41c1-99e7-2009c60550cc"/>
  </w:docVars>
  <w:rsids>
    <w:rsidRoot w:val="00CA335F"/>
    <w:rsid w:val="00023B82"/>
    <w:rsid w:val="00025A67"/>
    <w:rsid w:val="000538A1"/>
    <w:rsid w:val="000C5E7C"/>
    <w:rsid w:val="000E4109"/>
    <w:rsid w:val="00114E89"/>
    <w:rsid w:val="00140161"/>
    <w:rsid w:val="00196661"/>
    <w:rsid w:val="001B1A9B"/>
    <w:rsid w:val="001C14E9"/>
    <w:rsid w:val="00206EAD"/>
    <w:rsid w:val="00221D28"/>
    <w:rsid w:val="00287D95"/>
    <w:rsid w:val="00290828"/>
    <w:rsid w:val="002D1908"/>
    <w:rsid w:val="00306A96"/>
    <w:rsid w:val="00325715"/>
    <w:rsid w:val="0035001E"/>
    <w:rsid w:val="00377991"/>
    <w:rsid w:val="003A30FC"/>
    <w:rsid w:val="003B09EA"/>
    <w:rsid w:val="003C5F38"/>
    <w:rsid w:val="003F664C"/>
    <w:rsid w:val="003F7B56"/>
    <w:rsid w:val="00413AC3"/>
    <w:rsid w:val="00464EAC"/>
    <w:rsid w:val="004C490A"/>
    <w:rsid w:val="004D3337"/>
    <w:rsid w:val="005316C3"/>
    <w:rsid w:val="00543306"/>
    <w:rsid w:val="00557617"/>
    <w:rsid w:val="00573CB8"/>
    <w:rsid w:val="005D1E71"/>
    <w:rsid w:val="005F5617"/>
    <w:rsid w:val="0063015C"/>
    <w:rsid w:val="00630D1E"/>
    <w:rsid w:val="006335DA"/>
    <w:rsid w:val="00633AD6"/>
    <w:rsid w:val="00635461"/>
    <w:rsid w:val="00691822"/>
    <w:rsid w:val="006B0006"/>
    <w:rsid w:val="006B362C"/>
    <w:rsid w:val="006E79C9"/>
    <w:rsid w:val="007520F2"/>
    <w:rsid w:val="00810E8C"/>
    <w:rsid w:val="00823EB5"/>
    <w:rsid w:val="00847063"/>
    <w:rsid w:val="00875EF0"/>
    <w:rsid w:val="008C0B22"/>
    <w:rsid w:val="008E6F41"/>
    <w:rsid w:val="00926270"/>
    <w:rsid w:val="009E58C6"/>
    <w:rsid w:val="00AE551C"/>
    <w:rsid w:val="00B00D8C"/>
    <w:rsid w:val="00B12C26"/>
    <w:rsid w:val="00B61388"/>
    <w:rsid w:val="00BB7A6E"/>
    <w:rsid w:val="00C24FB0"/>
    <w:rsid w:val="00C645BE"/>
    <w:rsid w:val="00C6744A"/>
    <w:rsid w:val="00C86878"/>
    <w:rsid w:val="00CA243D"/>
    <w:rsid w:val="00CA335F"/>
    <w:rsid w:val="00D003AB"/>
    <w:rsid w:val="00D24DEF"/>
    <w:rsid w:val="00D54C02"/>
    <w:rsid w:val="00D62A38"/>
    <w:rsid w:val="00D732BE"/>
    <w:rsid w:val="00DB491C"/>
    <w:rsid w:val="00E55B2B"/>
    <w:rsid w:val="00F25465"/>
    <w:rsid w:val="00F262F1"/>
    <w:rsid w:val="00FC4EC5"/>
    <w:rsid w:val="00FD2DEA"/>
    <w:rsid w:val="00FE2063"/>
    <w:rsid w:val="030447ED"/>
    <w:rsid w:val="04632CED"/>
    <w:rsid w:val="04820B6B"/>
    <w:rsid w:val="056944EA"/>
    <w:rsid w:val="06BD4DB6"/>
    <w:rsid w:val="074C24FB"/>
    <w:rsid w:val="094B59F1"/>
    <w:rsid w:val="099E0C09"/>
    <w:rsid w:val="0AE701D4"/>
    <w:rsid w:val="0B4E6285"/>
    <w:rsid w:val="0C903519"/>
    <w:rsid w:val="0DC57B70"/>
    <w:rsid w:val="0E672775"/>
    <w:rsid w:val="0F851366"/>
    <w:rsid w:val="10263C32"/>
    <w:rsid w:val="10727708"/>
    <w:rsid w:val="133D4D21"/>
    <w:rsid w:val="14345FF8"/>
    <w:rsid w:val="147D3BF2"/>
    <w:rsid w:val="14D96FB7"/>
    <w:rsid w:val="15061170"/>
    <w:rsid w:val="16495944"/>
    <w:rsid w:val="195B4C16"/>
    <w:rsid w:val="1A093673"/>
    <w:rsid w:val="1B330E20"/>
    <w:rsid w:val="1B485E18"/>
    <w:rsid w:val="1C3C5B34"/>
    <w:rsid w:val="1C5C1C89"/>
    <w:rsid w:val="1CF56A43"/>
    <w:rsid w:val="1CF60774"/>
    <w:rsid w:val="1DC52513"/>
    <w:rsid w:val="1E557C06"/>
    <w:rsid w:val="2299472A"/>
    <w:rsid w:val="231950D4"/>
    <w:rsid w:val="23A03E43"/>
    <w:rsid w:val="24126720"/>
    <w:rsid w:val="254C6A36"/>
    <w:rsid w:val="26F2235E"/>
    <w:rsid w:val="27CA68EB"/>
    <w:rsid w:val="282D57B4"/>
    <w:rsid w:val="29541EC3"/>
    <w:rsid w:val="29DA3081"/>
    <w:rsid w:val="29EE2862"/>
    <w:rsid w:val="2A85593E"/>
    <w:rsid w:val="2C07559C"/>
    <w:rsid w:val="2C1B2732"/>
    <w:rsid w:val="2D7B85D7"/>
    <w:rsid w:val="2EE235DE"/>
    <w:rsid w:val="2F8F5CD7"/>
    <w:rsid w:val="31B12944"/>
    <w:rsid w:val="322E7C87"/>
    <w:rsid w:val="32B8220B"/>
    <w:rsid w:val="35103D2E"/>
    <w:rsid w:val="36687A6B"/>
    <w:rsid w:val="379545E5"/>
    <w:rsid w:val="391231B2"/>
    <w:rsid w:val="39D7006D"/>
    <w:rsid w:val="3A7E0EA5"/>
    <w:rsid w:val="3A912CDA"/>
    <w:rsid w:val="3E533D94"/>
    <w:rsid w:val="3E6622F9"/>
    <w:rsid w:val="3EEC137A"/>
    <w:rsid w:val="3FBE49AE"/>
    <w:rsid w:val="41750096"/>
    <w:rsid w:val="43461473"/>
    <w:rsid w:val="46D84A50"/>
    <w:rsid w:val="4751685C"/>
    <w:rsid w:val="48C758A8"/>
    <w:rsid w:val="49972828"/>
    <w:rsid w:val="49C302E1"/>
    <w:rsid w:val="4A0830A1"/>
    <w:rsid w:val="4A6A32B9"/>
    <w:rsid w:val="4C9E7BAF"/>
    <w:rsid w:val="4D437238"/>
    <w:rsid w:val="4E0D3D89"/>
    <w:rsid w:val="4FC2346C"/>
    <w:rsid w:val="4FC30624"/>
    <w:rsid w:val="51CB72CF"/>
    <w:rsid w:val="52E47847"/>
    <w:rsid w:val="536117A2"/>
    <w:rsid w:val="53F57818"/>
    <w:rsid w:val="554144F3"/>
    <w:rsid w:val="55C71A0D"/>
    <w:rsid w:val="560223A7"/>
    <w:rsid w:val="5776668B"/>
    <w:rsid w:val="590774E1"/>
    <w:rsid w:val="59401C6C"/>
    <w:rsid w:val="5A8A47E2"/>
    <w:rsid w:val="5C4557EC"/>
    <w:rsid w:val="5D1A7927"/>
    <w:rsid w:val="5D55DDA3"/>
    <w:rsid w:val="5DBC5FC7"/>
    <w:rsid w:val="5E700196"/>
    <w:rsid w:val="5E79448F"/>
    <w:rsid w:val="5ECD2B8A"/>
    <w:rsid w:val="60DF438B"/>
    <w:rsid w:val="60EA6A27"/>
    <w:rsid w:val="61F56213"/>
    <w:rsid w:val="6257032D"/>
    <w:rsid w:val="63CA4E46"/>
    <w:rsid w:val="6412040D"/>
    <w:rsid w:val="65EF0136"/>
    <w:rsid w:val="673570C4"/>
    <w:rsid w:val="67AB60E7"/>
    <w:rsid w:val="684F79F4"/>
    <w:rsid w:val="685D4F7A"/>
    <w:rsid w:val="6B2A5D07"/>
    <w:rsid w:val="6CCF0F7D"/>
    <w:rsid w:val="6D2771AA"/>
    <w:rsid w:val="6F9A76B3"/>
    <w:rsid w:val="73763599"/>
    <w:rsid w:val="73C231FD"/>
    <w:rsid w:val="73FD186E"/>
    <w:rsid w:val="751320B2"/>
    <w:rsid w:val="75E94934"/>
    <w:rsid w:val="76CA18D7"/>
    <w:rsid w:val="76D14596"/>
    <w:rsid w:val="776D9587"/>
    <w:rsid w:val="777E0BEC"/>
    <w:rsid w:val="79551771"/>
    <w:rsid w:val="79985EF1"/>
    <w:rsid w:val="7B2C4056"/>
    <w:rsid w:val="7B5833F4"/>
    <w:rsid w:val="7BC3769B"/>
    <w:rsid w:val="7E2310B8"/>
    <w:rsid w:val="7E644621"/>
    <w:rsid w:val="7E663931"/>
    <w:rsid w:val="7EFF5F42"/>
    <w:rsid w:val="7FD24C09"/>
    <w:rsid w:val="7FD528A7"/>
    <w:rsid w:val="7FE66523"/>
    <w:rsid w:val="7FEE11B7"/>
    <w:rsid w:val="DD7F6703"/>
    <w:rsid w:val="EF879323"/>
    <w:rsid w:val="FE7D0D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2"/>
    <w:basedOn w:val="1"/>
    <w:next w:val="1"/>
    <w:qFormat/>
    <w:uiPriority w:val="0"/>
    <w:pPr>
      <w:keepNext/>
      <w:keepLines/>
      <w:spacing w:line="500" w:lineRule="exact"/>
      <w:ind w:firstLine="200" w:firstLineChars="200"/>
      <w:outlineLvl w:val="1"/>
    </w:pPr>
    <w:rPr>
      <w:rFonts w:ascii="Cambria" w:hAnsi="Cambria" w:eastAsia="仿宋" w:cs="宋体"/>
      <w:b/>
      <w:bCs/>
      <w:sz w:val="28"/>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19"/>
    <w:qFormat/>
    <w:uiPriority w:val="99"/>
    <w:pPr>
      <w:tabs>
        <w:tab w:val="left" w:pos="0"/>
        <w:tab w:val="left" w:pos="993"/>
        <w:tab w:val="left" w:pos="1134"/>
      </w:tabs>
      <w:ind w:firstLine="420" w:firstLineChars="200"/>
    </w:pPr>
  </w:style>
  <w:style w:type="paragraph" w:styleId="3">
    <w:name w:val="Body Text Indent"/>
    <w:basedOn w:val="1"/>
    <w:next w:val="4"/>
    <w:qFormat/>
    <w:uiPriority w:val="99"/>
    <w:pPr>
      <w:tabs>
        <w:tab w:val="left" w:pos="0"/>
        <w:tab w:val="left" w:pos="993"/>
        <w:tab w:val="left" w:pos="1134"/>
      </w:tabs>
      <w:spacing w:line="500" w:lineRule="exact"/>
      <w:ind w:firstLine="567"/>
    </w:pPr>
    <w:rPr>
      <w:rFonts w:ascii="宋体"/>
      <w:sz w:val="28"/>
    </w:rPr>
  </w:style>
  <w:style w:type="paragraph" w:styleId="4">
    <w:name w:val="envelope return"/>
    <w:basedOn w:val="1"/>
    <w:qFormat/>
    <w:uiPriority w:val="99"/>
    <w:pPr>
      <w:snapToGrid w:val="0"/>
    </w:pPr>
    <w:rPr>
      <w:rFonts w:ascii="Arial" w:hAnsi="Arial"/>
    </w:rPr>
  </w:style>
  <w:style w:type="paragraph" w:styleId="6">
    <w:name w:val="Balloon Text"/>
    <w:basedOn w:val="1"/>
    <w:link w:val="18"/>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toc 1"/>
    <w:basedOn w:val="1"/>
    <w:next w:val="1"/>
    <w:qFormat/>
    <w:uiPriority w:val="39"/>
    <w:pPr>
      <w:tabs>
        <w:tab w:val="right" w:leader="dot" w:pos="8494"/>
      </w:tabs>
    </w:pPr>
  </w:style>
  <w:style w:type="table" w:styleId="11">
    <w:name w:val="Table Grid"/>
    <w:basedOn w:val="10"/>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3">
    <w:name w:val="页眉 Char"/>
    <w:basedOn w:val="12"/>
    <w:link w:val="8"/>
    <w:qFormat/>
    <w:uiPriority w:val="99"/>
    <w:rPr>
      <w:sz w:val="18"/>
      <w:szCs w:val="18"/>
    </w:rPr>
  </w:style>
  <w:style w:type="character" w:customStyle="1" w:styleId="14">
    <w:name w:val="页脚 Char"/>
    <w:basedOn w:val="12"/>
    <w:link w:val="7"/>
    <w:qFormat/>
    <w:uiPriority w:val="99"/>
    <w:rPr>
      <w:sz w:val="18"/>
      <w:szCs w:val="18"/>
    </w:rPr>
  </w:style>
  <w:style w:type="paragraph" w:customStyle="1" w:styleId="15">
    <w:name w:val="正文二"/>
    <w:basedOn w:val="1"/>
    <w:qFormat/>
    <w:uiPriority w:val="0"/>
    <w:pPr>
      <w:ind w:firstLine="200" w:firstLineChars="200"/>
    </w:pPr>
    <w:rPr>
      <w:rFonts w:ascii="宋体" w:hAnsi="宋体" w:eastAsia="仿宋_GB2312"/>
      <w:sz w:val="28"/>
      <w:szCs w:val="30"/>
    </w:rPr>
  </w:style>
  <w:style w:type="paragraph" w:styleId="16">
    <w:name w:val="List Paragraph"/>
    <w:basedOn w:val="1"/>
    <w:qFormat/>
    <w:uiPriority w:val="99"/>
    <w:pPr>
      <w:ind w:firstLine="420" w:firstLineChars="200"/>
    </w:pPr>
  </w:style>
  <w:style w:type="paragraph" w:customStyle="1" w:styleId="17">
    <w:name w:val="列出段落1"/>
    <w:basedOn w:val="1"/>
    <w:qFormat/>
    <w:uiPriority w:val="99"/>
    <w:pPr>
      <w:ind w:firstLine="420" w:firstLineChars="200"/>
    </w:pPr>
  </w:style>
  <w:style w:type="character" w:customStyle="1" w:styleId="18">
    <w:name w:val="批注框文本 Char"/>
    <w:basedOn w:val="12"/>
    <w:link w:val="6"/>
    <w:semiHidden/>
    <w:qFormat/>
    <w:uiPriority w:val="99"/>
    <w:rPr>
      <w:rFonts w:ascii="Times New Roman" w:hAnsi="Times New Roman" w:eastAsia="宋体" w:cs="Times New Roman"/>
      <w:kern w:val="2"/>
      <w:sz w:val="18"/>
      <w:szCs w:val="18"/>
    </w:rPr>
  </w:style>
  <w:style w:type="character" w:customStyle="1" w:styleId="19">
    <w:name w:val="正文首行缩进 2 Char"/>
    <w:basedOn w:val="12"/>
    <w:link w:val="2"/>
    <w:qFormat/>
    <w:uiPriority w:val="99"/>
    <w:rPr>
      <w:rFonts w:ascii="宋体" w:hAnsi="Times New Roman" w:eastAsia="宋体" w:cs="Times New Roman"/>
      <w:kern w:val="2"/>
      <w:sz w:val="28"/>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3073"/>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3E5A70B-4526-4156-8278-43ED360A44E8}">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9</Pages>
  <Words>6676</Words>
  <Characters>6921</Characters>
  <Lines>49</Lines>
  <Paragraphs>13</Paragraphs>
  <TotalTime>0</TotalTime>
  <ScaleCrop>false</ScaleCrop>
  <LinksUpToDate>false</LinksUpToDate>
  <CharactersWithSpaces>6921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2022-09-23T02:28:00Z</dcterms:created>
  <dc:creator>Administrator</dc:creator>
  <cp:lastModifiedBy>zhuyh</cp:lastModifiedBy>
  <cp:lastPrinted>2020-07-09T08:56:00Z</cp:lastPrinted>
  <dcterms:modified xsi:type="dcterms:W3CDTF">2022-11-06T07:45:30Z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B093D563C39F4FB7B18296E1430AE224</vt:lpwstr>
  </property>
</Properties>
</file>