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sz w:val="44"/>
          <w:szCs w:val="44"/>
        </w:rPr>
      </w:pPr>
      <w:bookmarkStart w:id="0" w:name="_Toc15450"/>
      <w:bookmarkStart w:id="1" w:name="_Toc2677"/>
      <w:bookmarkStart w:id="2" w:name="_Toc28112"/>
      <w:r>
        <w:rPr>
          <w:rFonts w:hint="eastAsia" w:ascii="方正小标宋简体" w:hAnsi="方正小标宋简体" w:eastAsia="方正小标宋简体" w:cs="方正小标宋简体"/>
          <w:sz w:val="44"/>
          <w:szCs w:val="44"/>
        </w:rPr>
        <w:t>2022年青浦区总工会部门整体支出</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绩效评价结果信息</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仿宋_GB2312" w:cs="Times New Roman"/>
          <w:b/>
          <w:bCs/>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一、部门基本情况</w:t>
      </w:r>
    </w:p>
    <w:p>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青浦区总工会是青浦区各级工会的领导机关，主要承担组织、指导青浦区内各级工会履行工会的建设、维护、参与、教育等社会职能</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直</w:t>
      </w:r>
      <w:r>
        <w:rPr>
          <w:rFonts w:ascii="Times New Roman" w:hAnsi="Times New Roman" w:eastAsia="仿宋_GB2312" w:cs="Times New Roman"/>
          <w:sz w:val="32"/>
          <w:szCs w:val="32"/>
          <w:lang w:val="zh-TW" w:eastAsia="zh-TW"/>
        </w:rPr>
        <w:t>辖有镇、街道、委</w:t>
      </w:r>
      <w:r>
        <w:rPr>
          <w:rFonts w:hint="eastAsia" w:ascii="Times New Roman" w:hAnsi="Times New Roman" w:eastAsia="仿宋_GB2312" w:cs="Times New Roman"/>
          <w:sz w:val="32"/>
          <w:szCs w:val="32"/>
        </w:rPr>
        <w:t>办</w:t>
      </w:r>
      <w:r>
        <w:rPr>
          <w:rFonts w:ascii="Times New Roman" w:hAnsi="Times New Roman" w:eastAsia="仿宋_GB2312" w:cs="Times New Roman"/>
          <w:sz w:val="32"/>
          <w:szCs w:val="32"/>
          <w:lang w:val="zh-TW" w:eastAsia="zh-TW"/>
        </w:rPr>
        <w:t>局、区</w:t>
      </w:r>
      <w:r>
        <w:rPr>
          <w:rFonts w:hint="eastAsia" w:ascii="Times New Roman" w:hAnsi="Times New Roman" w:eastAsia="仿宋_GB2312" w:cs="Times New Roman"/>
          <w:sz w:val="32"/>
          <w:szCs w:val="32"/>
        </w:rPr>
        <w:t>属</w:t>
      </w:r>
      <w:r>
        <w:rPr>
          <w:rFonts w:ascii="Times New Roman" w:hAnsi="Times New Roman" w:eastAsia="仿宋_GB2312" w:cs="Times New Roman"/>
          <w:sz w:val="32"/>
          <w:szCs w:val="32"/>
          <w:lang w:val="zh-TW" w:eastAsia="zh-TW"/>
        </w:rPr>
        <w:t>公司和行业工会56家</w:t>
      </w:r>
      <w:r>
        <w:rPr>
          <w:rFonts w:hint="eastAsia" w:ascii="Times New Roman" w:hAnsi="Times New Roman" w:eastAsia="仿宋_GB2312" w:cs="Times New Roman"/>
          <w:sz w:val="32"/>
          <w:szCs w:val="32"/>
        </w:rPr>
        <w:t>。2022年，部门无下属单位</w:t>
      </w:r>
      <w:r>
        <w:rPr>
          <w:rStyle w:val="25"/>
          <w:rFonts w:hint="eastAsia" w:ascii="Times New Roman" w:hAnsi="Times New Roman" w:eastAsia="仿宋_GB2312" w:cs="Times New Roman"/>
          <w:sz w:val="32"/>
          <w:szCs w:val="32"/>
        </w:rPr>
        <w:footnoteReference w:id="0"/>
      </w:r>
      <w:r>
        <w:rPr>
          <w:rFonts w:hint="eastAsia" w:ascii="Times New Roman" w:hAnsi="Times New Roman" w:eastAsia="仿宋_GB2312" w:cs="Times New Roman"/>
          <w:sz w:val="32"/>
          <w:szCs w:val="32"/>
        </w:rPr>
        <w:t>，内设</w:t>
      </w:r>
      <w:r>
        <w:rPr>
          <w:rFonts w:ascii="Times New Roman" w:hAnsi="Times New Roman" w:eastAsia="仿宋_GB2312" w:cs="Times New Roman"/>
          <w:sz w:val="32"/>
          <w:szCs w:val="32"/>
        </w:rPr>
        <w:t>基层工作部、综合保障部、劳动关系部、宣传教育部和办公室</w:t>
      </w:r>
      <w:r>
        <w:rPr>
          <w:rFonts w:hint="eastAsia" w:ascii="Times New Roman" w:hAnsi="Times New Roman" w:eastAsia="仿宋_GB2312" w:cs="Times New Roman"/>
          <w:sz w:val="32"/>
          <w:szCs w:val="32"/>
        </w:rPr>
        <w:t>等5个机构，年末共有在编人员13名，非编人员67名。</w:t>
      </w:r>
    </w:p>
    <w:p>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目前，青浦区总工会部门收入由财政资金与工会经费两部分构成，其中，财政资金作为部门的政府补助收入，主要用于部门人员经费、部分公用经费及明确由财政支持的相关项目等支出。2022年，由于青浦区总工会代编青浦区工</w:t>
      </w:r>
      <w:r>
        <w:rPr>
          <w:rFonts w:ascii="Times New Roman" w:hAnsi="Times New Roman" w:eastAsia="仿宋_GB2312" w:cs="Times New Roman"/>
          <w:sz w:val="32"/>
          <w:szCs w:val="32"/>
        </w:rPr>
        <w:t>人文化宫</w:t>
      </w:r>
      <w:r>
        <w:rPr>
          <w:rFonts w:hint="eastAsia" w:ascii="Times New Roman" w:hAnsi="Times New Roman" w:eastAsia="仿宋_GB2312" w:cs="Times New Roman"/>
          <w:sz w:val="32"/>
          <w:szCs w:val="32"/>
        </w:rPr>
        <w:t>的预算，故部门预算中包含两个单位。</w:t>
      </w:r>
      <w:r>
        <w:rPr>
          <w:rFonts w:ascii="Times New Roman" w:hAnsi="Times New Roman" w:eastAsia="仿宋_GB2312" w:cs="Times New Roman"/>
          <w:sz w:val="32"/>
          <w:szCs w:val="32"/>
        </w:rPr>
        <w:t>区总</w:t>
      </w:r>
      <w:r>
        <w:rPr>
          <w:rFonts w:hint="eastAsia" w:ascii="Times New Roman" w:hAnsi="Times New Roman" w:eastAsia="仿宋_GB2312" w:cs="Times New Roman"/>
          <w:sz w:val="32"/>
          <w:szCs w:val="32"/>
        </w:rPr>
        <w:t>（含区工</w:t>
      </w:r>
      <w:r>
        <w:rPr>
          <w:rFonts w:ascii="Times New Roman" w:hAnsi="Times New Roman" w:eastAsia="仿宋_GB2312" w:cs="Times New Roman"/>
          <w:sz w:val="32"/>
          <w:szCs w:val="32"/>
        </w:rPr>
        <w:t>人文化宫</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年初预算批复13</w:t>
      </w:r>
      <w:r>
        <w:rPr>
          <w:rFonts w:hint="eastAsia" w:ascii="Times New Roman" w:hAnsi="Times New Roman" w:eastAsia="仿宋_GB2312" w:cs="Times New Roman"/>
          <w:sz w:val="32"/>
          <w:szCs w:val="32"/>
        </w:rPr>
        <w:t>43.82</w:t>
      </w:r>
      <w:r>
        <w:rPr>
          <w:rFonts w:ascii="Times New Roman" w:hAnsi="Times New Roman" w:eastAsia="仿宋_GB2312" w:cs="Times New Roman"/>
          <w:sz w:val="32"/>
          <w:szCs w:val="32"/>
        </w:rPr>
        <w:t>万元，调整后预算1</w:t>
      </w:r>
      <w:r>
        <w:rPr>
          <w:rFonts w:hint="eastAsia" w:ascii="Times New Roman" w:hAnsi="Times New Roman" w:eastAsia="仿宋_GB2312" w:cs="Times New Roman"/>
          <w:sz w:val="32"/>
          <w:szCs w:val="32"/>
        </w:rPr>
        <w:t>549.43</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预算调整率13.27%，实际执行</w:t>
      </w:r>
      <w:r>
        <w:rPr>
          <w:rFonts w:ascii="Times New Roman" w:hAnsi="Times New Roman" w:eastAsia="仿宋_GB2312" w:cs="Times New Roman"/>
          <w:sz w:val="32"/>
          <w:szCs w:val="32"/>
        </w:rPr>
        <w:t>数13</w:t>
      </w:r>
      <w:r>
        <w:rPr>
          <w:rFonts w:hint="eastAsia" w:ascii="Times New Roman" w:hAnsi="Times New Roman" w:eastAsia="仿宋_GB2312" w:cs="Times New Roman"/>
          <w:sz w:val="32"/>
          <w:szCs w:val="32"/>
        </w:rPr>
        <w:t>93.94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预算</w:t>
      </w:r>
      <w:r>
        <w:rPr>
          <w:rFonts w:ascii="Times New Roman" w:hAnsi="Times New Roman" w:eastAsia="仿宋_GB2312" w:cs="Times New Roman"/>
          <w:sz w:val="32"/>
          <w:szCs w:val="32"/>
        </w:rPr>
        <w:t>执行率</w:t>
      </w:r>
      <w:r>
        <w:rPr>
          <w:rFonts w:hint="eastAsia" w:ascii="Times New Roman" w:hAnsi="Times New Roman" w:eastAsia="仿宋_GB2312" w:cs="Times New Roman"/>
          <w:sz w:val="32"/>
          <w:szCs w:val="32"/>
        </w:rPr>
        <w:t>89.96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。部门（不含区工</w:t>
      </w:r>
      <w:r>
        <w:rPr>
          <w:rFonts w:ascii="Times New Roman" w:hAnsi="Times New Roman" w:eastAsia="仿宋_GB2312" w:cs="Times New Roman"/>
          <w:sz w:val="32"/>
          <w:szCs w:val="32"/>
        </w:rPr>
        <w:t>人文化宫</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年初</w:t>
      </w:r>
      <w:r>
        <w:rPr>
          <w:rFonts w:hint="eastAsia" w:ascii="Times New Roman" w:hAnsi="Times New Roman" w:eastAsia="仿宋_GB2312" w:cs="Times New Roman"/>
          <w:sz w:val="32"/>
          <w:szCs w:val="32"/>
        </w:rPr>
        <w:t>财政</w:t>
      </w:r>
      <w:r>
        <w:rPr>
          <w:rFonts w:ascii="Times New Roman" w:hAnsi="Times New Roman" w:eastAsia="仿宋_GB2312" w:cs="Times New Roman"/>
          <w:sz w:val="32"/>
          <w:szCs w:val="32"/>
        </w:rPr>
        <w:t>预算批复</w:t>
      </w:r>
      <w:r>
        <w:rPr>
          <w:rFonts w:hint="eastAsia" w:ascii="Times New Roman" w:hAnsi="Times New Roman" w:eastAsia="仿宋_GB2312" w:cs="Times New Roman"/>
          <w:sz w:val="32"/>
          <w:szCs w:val="32"/>
        </w:rPr>
        <w:t>978.26</w:t>
      </w:r>
      <w:r>
        <w:rPr>
          <w:rFonts w:ascii="Times New Roman" w:hAnsi="Times New Roman" w:eastAsia="仿宋_GB2312" w:cs="Times New Roman"/>
          <w:sz w:val="32"/>
          <w:szCs w:val="32"/>
        </w:rPr>
        <w:t>万元，调整后预算1</w:t>
      </w:r>
      <w:r>
        <w:rPr>
          <w:rFonts w:hint="eastAsia" w:ascii="Times New Roman" w:hAnsi="Times New Roman" w:eastAsia="仿宋_GB2312" w:cs="Times New Roman"/>
          <w:sz w:val="32"/>
          <w:szCs w:val="32"/>
        </w:rPr>
        <w:t>123.50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实际支出996.20</w:t>
      </w:r>
      <w:r>
        <w:rPr>
          <w:rFonts w:ascii="Times New Roman" w:hAnsi="Times New Roman" w:eastAsia="仿宋_GB2312" w:cs="Times New Roman"/>
          <w:sz w:val="32"/>
          <w:szCs w:val="32"/>
        </w:rPr>
        <w:t>万元，执行率</w:t>
      </w:r>
      <w:r>
        <w:rPr>
          <w:rFonts w:hint="eastAsia" w:ascii="Times New Roman" w:hAnsi="Times New Roman" w:eastAsia="仿宋_GB2312" w:cs="Times New Roman"/>
          <w:sz w:val="32"/>
          <w:szCs w:val="32"/>
        </w:rPr>
        <w:t>88.67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p>
    <w:p>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青浦区总工会根据青浦区工会第五次代表大会工作报告与部门2022年工作计划，总体上有效地履行了工会基础建设、职工利益保障、劳动关系协调、职工宣传教育等职能，加快企业建会与职工入会步伐，让更多职工感受到工会的温度，推动劳动争议化解机制建设，多渠道地弘扬劳模精神、劳动精神和工匠精神。</w:t>
      </w:r>
    </w:p>
    <w:p>
      <w:pPr>
        <w:pStyle w:val="9"/>
        <w:keepNext w:val="0"/>
        <w:keepLines w:val="0"/>
        <w:pageBreakBefore w:val="0"/>
        <w:widowControl w:val="0"/>
        <w:kinsoku/>
        <w:wordWrap/>
        <w:overflowPunct/>
        <w:topLinePunct w:val="0"/>
        <w:autoSpaceDE/>
        <w:autoSpaceDN/>
        <w:bidi w:val="0"/>
        <w:adjustRightInd/>
        <w:snapToGrid/>
        <w:spacing w:after="0" w:line="56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二、评价工作开展情况</w:t>
      </w:r>
    </w:p>
    <w:p>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2023年6月，</w:t>
      </w:r>
      <w:r>
        <w:rPr>
          <w:rFonts w:hint="eastAsia" w:ascii="Times New Roman" w:hAnsi="Times New Roman" w:eastAsia="仿宋_GB2312" w:cs="Times New Roman"/>
          <w:sz w:val="32"/>
          <w:szCs w:val="32"/>
          <w:lang w:val="zh-TW"/>
        </w:rPr>
        <w:t>青浦区总工会（以下简称“区总工会”）接受了</w:t>
      </w:r>
      <w:bookmarkStart w:id="3" w:name="_GoBack"/>
      <w:r>
        <w:rPr>
          <w:rFonts w:hint="eastAsia" w:ascii="Times New Roman" w:hAnsi="Times New Roman" w:eastAsia="仿宋_GB2312" w:cs="Times New Roman"/>
          <w:b/>
          <w:bCs/>
          <w:sz w:val="32"/>
          <w:szCs w:val="32"/>
          <w:lang w:val="zh-TW"/>
        </w:rPr>
        <w:t>上海立丰税务师事务所有限公司</w:t>
      </w:r>
      <w:bookmarkEnd w:id="3"/>
      <w:r>
        <w:rPr>
          <w:rFonts w:hint="eastAsia" w:ascii="Times New Roman" w:hAnsi="Times New Roman" w:eastAsia="仿宋_GB2312" w:cs="Times New Roman"/>
          <w:sz w:val="32"/>
          <w:szCs w:val="32"/>
          <w:lang w:val="zh-TW"/>
        </w:rPr>
        <w:t>对本部门实施的</w:t>
      </w:r>
      <w:r>
        <w:rPr>
          <w:rFonts w:hint="eastAsia" w:ascii="Times New Roman" w:hAnsi="Times New Roman" w:eastAsia="仿宋_GB2312" w:cs="Times New Roman"/>
          <w:sz w:val="32"/>
          <w:szCs w:val="32"/>
        </w:rPr>
        <w:t>2022年部门整体支出</w:t>
      </w:r>
      <w:r>
        <w:rPr>
          <w:rFonts w:hint="eastAsia" w:ascii="Times New Roman" w:hAnsi="Times New Roman" w:eastAsia="仿宋_GB2312" w:cs="Times New Roman"/>
          <w:sz w:val="32"/>
          <w:szCs w:val="32"/>
          <w:lang w:val="zh-TW"/>
        </w:rPr>
        <w:t>绩效评价</w:t>
      </w:r>
      <w:r>
        <w:rPr>
          <w:rFonts w:hint="eastAsia" w:ascii="Times New Roman" w:hAnsi="Times New Roman" w:eastAsia="仿宋_GB2312" w:cs="Times New Roman"/>
          <w:sz w:val="32"/>
          <w:szCs w:val="32"/>
          <w:lang w:val="zh-TW" w:eastAsia="zh-CN"/>
        </w:rPr>
        <w:t>。</w:t>
      </w:r>
    </w:p>
    <w:p>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根据本次评价范围限定为部门财政资金的情况，本次评价关注重点主要有三方面，一是财政资金预算编制和执行情况，通过对区总近三年单位整体财政预算的梳理、对比，关注占比大的人员经费与经常性政策补贴类项目支出的预算编制与执行，分析预算编制依据充分性与预算安排合理性，以提升财政资金使用效率与预算执行率。二是部门履职情况与效果，根据区总主要的四项核心职能，根据规划-计划-重点工作-项目的层级，分析2022年内，区总相关重点工作的计划与执行情况，进而反映部门履职情况。三是部门内部控制管理情况，考察日常工作中涉及财政相关的六方面管理要求落实情况，重点关注预算编审、预算执行、预算绩效三方面。</w:t>
      </w:r>
    </w:p>
    <w:p>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主要运用</w:t>
      </w:r>
      <w:r>
        <w:rPr>
          <w:rFonts w:ascii="Times New Roman" w:hAnsi="Times New Roman" w:eastAsia="仿宋_GB2312" w:cs="Times New Roman"/>
          <w:sz w:val="32"/>
          <w:szCs w:val="32"/>
        </w:rPr>
        <w:t>采用因素分析法、历史动态比较法</w:t>
      </w:r>
      <w:r>
        <w:rPr>
          <w:rFonts w:hint="eastAsia" w:ascii="Times New Roman" w:hAnsi="Times New Roman" w:eastAsia="仿宋_GB2312" w:cs="Times New Roman"/>
          <w:sz w:val="32"/>
          <w:szCs w:val="32"/>
        </w:rPr>
        <w:t>及</w:t>
      </w:r>
      <w:r>
        <w:rPr>
          <w:rFonts w:ascii="Times New Roman" w:hAnsi="Times New Roman" w:eastAsia="仿宋_GB2312" w:cs="Times New Roman"/>
          <w:sz w:val="32"/>
          <w:szCs w:val="32"/>
        </w:rPr>
        <w:t>目标评价法，</w:t>
      </w:r>
      <w:r>
        <w:rPr>
          <w:rFonts w:hint="eastAsia" w:ascii="Times New Roman" w:hAnsi="Times New Roman" w:eastAsia="仿宋_GB2312" w:cs="Times New Roman"/>
          <w:sz w:val="32"/>
          <w:szCs w:val="32"/>
        </w:rPr>
        <w:t>通过文件研读、部门面对面调研与访谈、评价方案的评审及修改，结合数据采集情况，进一步完善评价指标体系后，完成本次评价。</w:t>
      </w:r>
    </w:p>
    <w:p>
      <w:pPr>
        <w:pStyle w:val="9"/>
        <w:keepNext w:val="0"/>
        <w:keepLines w:val="0"/>
        <w:pageBreakBefore w:val="0"/>
        <w:widowControl w:val="0"/>
        <w:kinsoku/>
        <w:wordWrap/>
        <w:overflowPunct/>
        <w:topLinePunct w:val="0"/>
        <w:autoSpaceDE/>
        <w:autoSpaceDN/>
        <w:bidi w:val="0"/>
        <w:adjustRightInd/>
        <w:snapToGrid/>
        <w:spacing w:after="0" w:line="56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三、评价结论和主要绩效</w:t>
      </w:r>
    </w:p>
    <w:p>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kern w:val="0"/>
          <w:sz w:val="32"/>
          <w:szCs w:val="32"/>
        </w:rPr>
        <w:t>本次</w:t>
      </w:r>
      <w:r>
        <w:rPr>
          <w:rFonts w:ascii="Times New Roman" w:hAnsi="Times New Roman" w:eastAsia="仿宋_GB2312" w:cs="Times New Roman"/>
          <w:kern w:val="0"/>
          <w:sz w:val="32"/>
          <w:szCs w:val="32"/>
        </w:rPr>
        <w:t>评价最终评价得分为8</w:t>
      </w:r>
      <w:r>
        <w:rPr>
          <w:rFonts w:hint="eastAsia" w:ascii="Times New Roman" w:hAnsi="Times New Roman" w:eastAsia="仿宋_GB2312" w:cs="Times New Roman"/>
          <w:kern w:val="0"/>
          <w:sz w:val="32"/>
          <w:szCs w:val="32"/>
        </w:rPr>
        <w:t>7.42</w:t>
      </w:r>
      <w:r>
        <w:rPr>
          <w:rFonts w:ascii="Times New Roman" w:hAnsi="Times New Roman" w:eastAsia="仿宋_GB2312" w:cs="Times New Roman"/>
          <w:kern w:val="0"/>
          <w:sz w:val="32"/>
          <w:szCs w:val="32"/>
        </w:rPr>
        <w:t>分，评价等级为“良”，其中投入管理指标满分33分，得分2</w:t>
      </w:r>
      <w:r>
        <w:rPr>
          <w:rFonts w:hint="eastAsia" w:ascii="Times New Roman" w:hAnsi="Times New Roman" w:eastAsia="仿宋_GB2312" w:cs="Times New Roman"/>
          <w:kern w:val="0"/>
          <w:sz w:val="32"/>
          <w:szCs w:val="32"/>
        </w:rPr>
        <w:t>4.75</w:t>
      </w:r>
      <w:r>
        <w:rPr>
          <w:rFonts w:ascii="Times New Roman" w:hAnsi="Times New Roman" w:eastAsia="仿宋_GB2312" w:cs="Times New Roman"/>
          <w:kern w:val="0"/>
          <w:sz w:val="32"/>
          <w:szCs w:val="32"/>
        </w:rPr>
        <w:t>分，得分率</w:t>
      </w:r>
      <w:r>
        <w:rPr>
          <w:rFonts w:hint="eastAsia" w:ascii="Times New Roman" w:hAnsi="Times New Roman" w:eastAsia="仿宋_GB2312" w:cs="Times New Roman"/>
          <w:kern w:val="0"/>
          <w:sz w:val="32"/>
          <w:szCs w:val="32"/>
        </w:rPr>
        <w:t>75</w:t>
      </w:r>
      <w:r>
        <w:rPr>
          <w:rFonts w:ascii="Times New Roman" w:hAnsi="Times New Roman" w:eastAsia="仿宋_GB2312" w:cs="Times New Roman"/>
          <w:kern w:val="0"/>
          <w:sz w:val="32"/>
          <w:szCs w:val="32"/>
        </w:rPr>
        <w:t>%，产出指标满分3</w:t>
      </w:r>
      <w:r>
        <w:rPr>
          <w:rFonts w:hint="eastAsia" w:ascii="Times New Roman" w:hAnsi="Times New Roman" w:eastAsia="仿宋_GB2312" w:cs="Times New Roman"/>
          <w:kern w:val="0"/>
          <w:sz w:val="32"/>
          <w:szCs w:val="32"/>
        </w:rPr>
        <w:t>1</w:t>
      </w:r>
      <w:r>
        <w:rPr>
          <w:rFonts w:ascii="Times New Roman" w:hAnsi="Times New Roman" w:eastAsia="仿宋_GB2312" w:cs="Times New Roman"/>
          <w:kern w:val="0"/>
          <w:sz w:val="32"/>
          <w:szCs w:val="32"/>
        </w:rPr>
        <w:t>分，得分</w:t>
      </w:r>
      <w:r>
        <w:rPr>
          <w:rFonts w:hint="eastAsia" w:ascii="Times New Roman" w:hAnsi="Times New Roman" w:eastAsia="仿宋_GB2312" w:cs="Times New Roman"/>
          <w:kern w:val="0"/>
          <w:sz w:val="32"/>
          <w:szCs w:val="32"/>
        </w:rPr>
        <w:t>28.67</w:t>
      </w:r>
      <w:r>
        <w:rPr>
          <w:rFonts w:ascii="Times New Roman" w:hAnsi="Times New Roman" w:eastAsia="仿宋_GB2312" w:cs="Times New Roman"/>
          <w:kern w:val="0"/>
          <w:sz w:val="32"/>
          <w:szCs w:val="32"/>
        </w:rPr>
        <w:t>分，得分率9</w:t>
      </w:r>
      <w:r>
        <w:rPr>
          <w:rFonts w:hint="eastAsia" w:ascii="Times New Roman" w:hAnsi="Times New Roman" w:eastAsia="仿宋_GB2312" w:cs="Times New Roman"/>
          <w:kern w:val="0"/>
          <w:sz w:val="32"/>
          <w:szCs w:val="32"/>
        </w:rPr>
        <w:t>2.48</w:t>
      </w:r>
      <w:r>
        <w:rPr>
          <w:rFonts w:ascii="Times New Roman" w:hAnsi="Times New Roman" w:eastAsia="仿宋_GB2312" w:cs="Times New Roman"/>
          <w:kern w:val="0"/>
          <w:sz w:val="32"/>
          <w:szCs w:val="32"/>
        </w:rPr>
        <w:t>%，效益指标满分</w:t>
      </w:r>
      <w:r>
        <w:rPr>
          <w:rFonts w:hint="eastAsia" w:ascii="Times New Roman" w:hAnsi="Times New Roman" w:eastAsia="仿宋_GB2312" w:cs="Times New Roman"/>
          <w:kern w:val="0"/>
          <w:sz w:val="32"/>
          <w:szCs w:val="32"/>
        </w:rPr>
        <w:t>36</w:t>
      </w:r>
      <w:r>
        <w:rPr>
          <w:rFonts w:ascii="Times New Roman" w:hAnsi="Times New Roman" w:eastAsia="仿宋_GB2312" w:cs="Times New Roman"/>
          <w:kern w:val="0"/>
          <w:sz w:val="32"/>
          <w:szCs w:val="32"/>
        </w:rPr>
        <w:t>分，得分</w:t>
      </w:r>
      <w:r>
        <w:rPr>
          <w:rFonts w:hint="eastAsia" w:ascii="Times New Roman" w:hAnsi="Times New Roman" w:eastAsia="仿宋_GB2312" w:cs="Times New Roman"/>
          <w:kern w:val="0"/>
          <w:sz w:val="32"/>
          <w:szCs w:val="32"/>
        </w:rPr>
        <w:t>34</w:t>
      </w:r>
      <w:r>
        <w:rPr>
          <w:rFonts w:ascii="Times New Roman" w:hAnsi="Times New Roman" w:eastAsia="仿宋_GB2312" w:cs="Times New Roman"/>
          <w:kern w:val="0"/>
          <w:sz w:val="32"/>
          <w:szCs w:val="32"/>
        </w:rPr>
        <w:t>分，得分率9</w:t>
      </w:r>
      <w:r>
        <w:rPr>
          <w:rFonts w:hint="eastAsia" w:ascii="Times New Roman" w:hAnsi="Times New Roman" w:eastAsia="仿宋_GB2312" w:cs="Times New Roman"/>
          <w:kern w:val="0"/>
          <w:sz w:val="32"/>
          <w:szCs w:val="32"/>
        </w:rPr>
        <w:t>4.44</w:t>
      </w:r>
      <w:r>
        <w:rPr>
          <w:rFonts w:ascii="Times New Roman" w:hAnsi="Times New Roman" w:eastAsia="仿宋_GB2312" w:cs="Times New Roman"/>
          <w:kern w:val="0"/>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部门投入管理方面，部门</w:t>
      </w:r>
      <w:r>
        <w:rPr>
          <w:rFonts w:hint="eastAsia" w:ascii="Times New Roman" w:hAnsi="Times New Roman" w:eastAsia="仿宋_GB2312" w:cs="Times New Roman"/>
          <w:sz w:val="32"/>
          <w:szCs w:val="32"/>
        </w:rPr>
        <w:t>规划计划与职责相适应，</w:t>
      </w:r>
      <w:r>
        <w:rPr>
          <w:rFonts w:ascii="Times New Roman" w:hAnsi="Times New Roman" w:eastAsia="仿宋_GB2312" w:cs="Times New Roman"/>
          <w:sz w:val="32"/>
          <w:szCs w:val="32"/>
        </w:rPr>
        <w:t>项目预算调整幅度较</w:t>
      </w:r>
      <w:r>
        <w:rPr>
          <w:rFonts w:hint="eastAsia" w:ascii="Times New Roman" w:hAnsi="Times New Roman" w:eastAsia="仿宋_GB2312" w:cs="Times New Roman"/>
          <w:sz w:val="32"/>
          <w:szCs w:val="32"/>
        </w:rPr>
        <w:t>小，调整</w:t>
      </w:r>
      <w:r>
        <w:rPr>
          <w:rFonts w:ascii="Times New Roman" w:hAnsi="Times New Roman" w:eastAsia="仿宋_GB2312" w:cs="Times New Roman"/>
          <w:sz w:val="32"/>
          <w:szCs w:val="32"/>
        </w:rPr>
        <w:t>程序规范</w:t>
      </w:r>
      <w:r>
        <w:rPr>
          <w:rFonts w:hint="eastAsia" w:ascii="Times New Roman" w:hAnsi="Times New Roman" w:eastAsia="仿宋_GB2312" w:cs="Times New Roman"/>
          <w:sz w:val="32"/>
          <w:szCs w:val="32"/>
        </w:rPr>
        <w:t>，预算执行率总体较好，部门会计制度执行有效，预决算公开及时，内控报告编制上报良好，资金使用合规，非编人员控制较有效。但规划计划中进度数量等不明确，部分预算编制依据欠缺，预决算申报信息与涵盖单位不全面，绩效管理整体有待加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部门</w:t>
      </w:r>
      <w:r>
        <w:rPr>
          <w:rFonts w:hint="eastAsia" w:ascii="Times New Roman" w:hAnsi="Times New Roman" w:eastAsia="仿宋_GB2312" w:cs="Times New Roman"/>
          <w:kern w:val="0"/>
          <w:sz w:val="32"/>
          <w:szCs w:val="32"/>
        </w:rPr>
        <w:t>核心</w:t>
      </w:r>
      <w:r>
        <w:rPr>
          <w:rFonts w:ascii="Times New Roman" w:hAnsi="Times New Roman" w:eastAsia="仿宋_GB2312" w:cs="Times New Roman"/>
          <w:kern w:val="0"/>
          <w:sz w:val="32"/>
          <w:szCs w:val="32"/>
        </w:rPr>
        <w:t>职能履行上，</w:t>
      </w:r>
      <w:r>
        <w:rPr>
          <w:rFonts w:hint="eastAsia" w:ascii="Times New Roman" w:hAnsi="Times New Roman" w:eastAsia="仿宋_GB2312" w:cs="Times New Roman"/>
          <w:kern w:val="0"/>
          <w:sz w:val="32"/>
          <w:szCs w:val="32"/>
        </w:rPr>
        <w:t>受疫情影响，相关工作（劳模创新工作室评审）完成时间节点有所滞后，但整体上均在年内完成。具体如下，工会基础建设方面，按计划完成11个街镇总工会换届，3个健康服务点与8家区级劳模创新工作室审核；职工利益保障方面，应完成尽完成3682人次困难职工帮扶，计划为10000名职工提供体检补贴或免费体检，实际完成11500名，计划为百名抗疫一线职工提供免费疗休养，实际为300名提供；劳动关系协调方面，回复各类劳动关系问题2382件，参与劳动争议调解案件291件，法律援助案件535件，应受理尽受理；职工宣传教育方面，继续开展红色讲堂，按计划完成12期劳动者的故事主题活动与七一座谈会，推出22期“青工云课堂”线上文化特色课堂。但会员专项补助，因系统数据故障，实际补助138952位未达到预期的175000位，区级劳模创新工作室1家未通过验收评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部门效益方面，部门</w:t>
      </w:r>
      <w:r>
        <w:rPr>
          <w:rFonts w:hint="eastAsia" w:ascii="Times New Roman" w:hAnsi="Times New Roman" w:eastAsia="仿宋_GB2312" w:cs="Times New Roman"/>
          <w:sz w:val="32"/>
          <w:szCs w:val="32"/>
        </w:rPr>
        <w:t>长效制度进一步完善</w:t>
      </w:r>
      <w:r>
        <w:rPr>
          <w:rFonts w:ascii="Times New Roman" w:hAnsi="Times New Roman" w:eastAsia="仿宋_GB2312" w:cs="Times New Roman"/>
          <w:sz w:val="32"/>
          <w:szCs w:val="32"/>
        </w:rPr>
        <w:t>，工会入会人数</w:t>
      </w:r>
      <w:r>
        <w:rPr>
          <w:rFonts w:hint="eastAsia" w:ascii="Times New Roman" w:hAnsi="Times New Roman" w:eastAsia="仿宋_GB2312" w:cs="Times New Roman"/>
          <w:sz w:val="32"/>
          <w:szCs w:val="32"/>
        </w:rPr>
        <w:t>与基层工会数较2021年分别新增4750人与94家，1家企业获全总五一劳动奖状，1人获全总五一劳动奖章，成功创建市级劳模创新工作室2家，会员医疗参保总人数增加约1万人，全年</w:t>
      </w:r>
      <w:r>
        <w:rPr>
          <w:rFonts w:ascii="Times New Roman" w:hAnsi="Times New Roman" w:eastAsia="仿宋_GB2312" w:cs="Times New Roman"/>
          <w:sz w:val="32"/>
          <w:szCs w:val="32"/>
        </w:rPr>
        <w:t>困难职工帮扶人次增幅24.39%</w:t>
      </w:r>
      <w:r>
        <w:rPr>
          <w:rFonts w:hint="eastAsia" w:ascii="Times New Roman" w:hAnsi="Times New Roman" w:eastAsia="仿宋_GB2312" w:cs="Times New Roman"/>
          <w:sz w:val="32"/>
          <w:szCs w:val="32"/>
        </w:rPr>
        <w:t>，法律援助案件与争议调解案件下降11.62%，调解成功率上升4%，各类宣传阵地/渠道维护良好，参与文体方面服务人次增加。但信息化应用过程中，对于区总官网的维护不够良好。</w:t>
      </w:r>
    </w:p>
    <w:p>
      <w:pPr>
        <w:pStyle w:val="9"/>
        <w:keepNext w:val="0"/>
        <w:keepLines w:val="0"/>
        <w:pageBreakBefore w:val="0"/>
        <w:widowControl w:val="0"/>
        <w:kinsoku/>
        <w:wordWrap/>
        <w:overflowPunct/>
        <w:topLinePunct w:val="0"/>
        <w:autoSpaceDE/>
        <w:autoSpaceDN/>
        <w:bidi w:val="0"/>
        <w:adjustRightInd/>
        <w:snapToGrid/>
        <w:spacing w:after="0" w:line="56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四、主要经验、问题和建议</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 xml:space="preserve">    </w:t>
      </w:r>
      <w:r>
        <w:rPr>
          <w:rFonts w:hint="eastAsia" w:ascii="Times New Roman" w:hAnsi="Times New Roman" w:eastAsia="仿宋_GB2312" w:cs="Times New Roman"/>
          <w:sz w:val="32"/>
          <w:szCs w:val="32"/>
        </w:rPr>
        <w:t>（一）</w:t>
      </w:r>
      <w:r>
        <w:rPr>
          <w:rFonts w:ascii="Times New Roman" w:hAnsi="Times New Roman" w:eastAsia="仿宋_GB2312" w:cs="Times New Roman"/>
          <w:sz w:val="32"/>
          <w:szCs w:val="32"/>
        </w:rPr>
        <w:t>主要经验</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1.健全工会长效管理机制，促进工会基础建设</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2022年，区总制作《企业建会、入会服务指南》，让更多企业和职工了解入会的好处</w:t>
      </w:r>
      <w:r>
        <w:rPr>
          <w:rFonts w:hint="eastAsia" w:ascii="Times New Roman" w:hAnsi="Times New Roman" w:eastAsia="仿宋_GB2312" w:cs="Times New Roman"/>
          <w:sz w:val="32"/>
          <w:szCs w:val="32"/>
        </w:rPr>
        <w:t>与</w:t>
      </w:r>
      <w:r>
        <w:rPr>
          <w:rFonts w:ascii="Times New Roman" w:hAnsi="Times New Roman" w:eastAsia="仿宋_GB2312" w:cs="Times New Roman"/>
          <w:sz w:val="32"/>
          <w:szCs w:val="32"/>
        </w:rPr>
        <w:t>建会的路径。制定下发《关于开展“百日建会行动”的实施意见》，明确工作目标、实施步骤和具体要求。对于灵活就业群体扫码入会，制作《青浦区总工会灵活就业群体服务指南》。下发《青浦区职工健康服务点服务指南》，指导三家单位按照要求开展工作。年内单独建会94家，发展会员4750人，新增3个“健康服务点”。</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2.前期及时介入，加强多方联动，减少劳动纠纷，提高调解成功率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目前区总建立劳资纠纷隐患排查预警报告机制，每天坚持零报告，随时掌握全区劳动关系领域动态，减少劳动纠纷的发生。</w:t>
      </w:r>
      <w:r>
        <w:rPr>
          <w:rFonts w:hint="eastAsia" w:ascii="Times New Roman" w:hAnsi="Times New Roman" w:eastAsia="仿宋_GB2312" w:cs="Times New Roman"/>
          <w:sz w:val="32"/>
          <w:szCs w:val="32"/>
        </w:rPr>
        <w:t>通过</w:t>
      </w:r>
      <w:r>
        <w:rPr>
          <w:rFonts w:ascii="Times New Roman" w:hAnsi="Times New Roman" w:eastAsia="仿宋_GB2312" w:cs="Times New Roman"/>
          <w:sz w:val="32"/>
          <w:szCs w:val="32"/>
        </w:rPr>
        <w:t>与区仲裁院、区法院建立裁前、诉前对接，做到争议调解全过程参与，并加强工会与法院、人社、司法行政部门在劳动关系领域的信息共享、协同指导，提升工会法律援助公益律师办案质量，提高仲裁、法院调解成功率。全年劳动争议方面法律援助案件、争议调解案件较2021年922件下降11.62%，实际参与调解的案件大尺度为32.20%，高于2021年的28.20%。</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（二）存在问题</w:t>
      </w:r>
    </w:p>
    <w:p>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1.部门预算编制依据不健全，部分项目执行率待提升</w:t>
      </w:r>
    </w:p>
    <w:p>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2022年区总财政资金主要保障人员经费与项目支出。其中人员经费方面，非编人员人数根据青浦区工会会员数及一定比例测算得出，但会员数与比例未明确，非编人员控制数无法测得，实有非编人</w:t>
      </w:r>
      <w:r>
        <w:rPr>
          <w:rFonts w:hint="eastAsia" w:ascii="Times New Roman" w:hAnsi="Times New Roman" w:eastAsia="仿宋_GB2312" w:cs="Times New Roman"/>
          <w:sz w:val="32"/>
          <w:szCs w:val="32"/>
          <w:lang w:val="en-US" w:eastAsia="zh-CN"/>
        </w:rPr>
        <w:t>数</w:t>
      </w:r>
      <w:r>
        <w:rPr>
          <w:rFonts w:hint="eastAsia" w:ascii="Times New Roman" w:hAnsi="Times New Roman" w:eastAsia="仿宋_GB2312" w:cs="Times New Roman"/>
          <w:sz w:val="32"/>
          <w:szCs w:val="32"/>
        </w:rPr>
        <w:t>合理性不充分。非编人员补助标准的参考依据为《街镇“小三级”工会经费补助的实施办法（试行）》中</w:t>
      </w:r>
      <w:r>
        <w:rPr>
          <w:rFonts w:hint="eastAsia" w:ascii="Times New Roman" w:hAnsi="Times New Roman" w:eastAsia="仿宋_GB2312" w:cs="Times New Roman"/>
          <w:sz w:val="32"/>
          <w:szCs w:val="32"/>
          <w:lang w:val="en-US" w:eastAsia="zh-CN"/>
        </w:rPr>
        <w:t>提及的</w:t>
      </w:r>
      <w:r>
        <w:rPr>
          <w:rFonts w:hint="eastAsia" w:ascii="Times New Roman" w:hAnsi="Times New Roman" w:eastAsia="仿宋_GB2312" w:cs="Times New Roman"/>
          <w:sz w:val="32"/>
          <w:szCs w:val="32"/>
        </w:rPr>
        <w:t>《上海市总工会对区县总工会购买社会组织服务项目经费补贴办法（试行）》的3.6万元/人·年执行。实际《街镇“小三级”工会经费补助的实施办法（试行）》的试行有效期截止于2017年12月31日，且后续正式文件中无相关类型补助。项目支出方面，以慰问补贴为主的区退管会管理工作经费与区劳模管理服务经费缺少立项文件，立项依据不充分。预算执行时，区劳模管理服务经费与区劳模创新工作室创建项目预算执行率较低，主要是由于未参照往年实际慰问人数安排预算及劳模工作室审核受疫情影响，完成延后，预算无法及时根据审核结果调减。</w:t>
      </w:r>
    </w:p>
    <w:p>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2.实有下属单位未纳入决算，决算上报单位覆盖不全面</w:t>
      </w:r>
    </w:p>
    <w:p>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根据部门预算编制材料与预决算公示信息，青浦区工人文化宫长期作为青浦区总工会的下属单位，但截至2022年时，一直未独立编制部门预算，实际后续上报部门决算时，遗漏应纳入编报范围的预算单位1户。</w:t>
      </w:r>
    </w:p>
    <w:p>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3.项目绩效目标、自评填报不规范，绩效管理全过程落实待加强</w:t>
      </w:r>
    </w:p>
    <w:p>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根据目前青浦区及区总在全面实施预算绩效管理方面的要求，2022年初区总共申报5个财政项目，同步申报绩效目标，但在绩效目标编制方面，未能充分理解绩效目标内涵与编制方法，存在以下问题：效益指标设置缺少量化、指标归类不准确，影响后续项目绩效跟踪纠偏与项目自评偏差发现的有效性。绩效自评中，部分项目实际完成值未填报或填报计划，内容填写不规范（目标与完成值填报位置颠倒、对偏差原因无分析），对于预算绩效管理全过程方面的推进力度有待加强。</w:t>
      </w:r>
    </w:p>
    <w:p>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4.部门计划未细化，部门官网宣传信息未及时维护</w:t>
      </w:r>
    </w:p>
    <w:p>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根据目前青浦区总部门年度计划编制的方式，以内设机构为单位，分别编制各自下一年度工作安排，除基层工作部在计划中明确业务开展时间节点外，其余计划无进度要求，同时，对于业务计划开展的数量等基础要求未在计划中明确，整体计划编制未细化。另外，部门官网的“时代风采”中相关劳模宣传信息未及时更新。</w:t>
      </w:r>
    </w:p>
    <w:p>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（三）相关建议</w:t>
      </w:r>
    </w:p>
    <w:p>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1.健全预算编制依据，结合项目特点，提升预算执行率</w:t>
      </w:r>
    </w:p>
    <w:p>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关于部门非编人员（社工）的补助，建议区总根据内控要求，结合最新市总工会文件精神，通过集体决策，向区财政提交财政补助申请的提案，提案中列示目前非编人员数量测算的依据，说明目前非编人员数量控制有效及补助标准的依据，经部门间沟通商榷后，以最终形成的青浦区补助意见为准申请预算。项目支出部分，根据工会同类补贴类政策文件，结合青浦区补贴现状，形成书面的立项依据，提升项目立项依据充分性。资金总量上，根据项目经常性开展且预算执行率常年偏低的实际，在历年项目实际执行数基础上安排年初预算；对于劳模工作室，加强对现行管理办法的落实，通过与负责申报基层工会之间的有效沟通，调研、预判工作室运作情况，并于4月及时完成评审，根据评审结果，及时申请预算调整。</w:t>
      </w:r>
    </w:p>
    <w:p>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2.规范申报部门预决算信息，深化部门预算管理改革应用</w:t>
      </w:r>
    </w:p>
    <w:p>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建议区总2023年及时推进实有下属单位区工人文化宫独立编制预算及决算申报的工作，健全目前部门决算编报管理中的缺失的内容，更清晰、完整地列示部门整体预决算。</w:t>
      </w:r>
    </w:p>
    <w:p>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3.强化部门绩效管理意识，提高绩效全过程工作质量</w:t>
      </w:r>
    </w:p>
    <w:p>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建议区总在今后年度根据青浦区预算绩效管理要求，提高项目绩效目标编制、跟踪、自评填报质量，进一步深化落实预算绩效管理工作。绩效目标编制方面，建议加大预算绩效管理业务培训力度，加强业务人员的参与，对项目效益指标加以量化（如补助类项目提供相关工会保险理赔率），准确分类项目产出（如劳模工作室创建的数量、评审的及时、审核通过率）与效益（劳模工作室成果的创新与应用）。部门整体绩效目标方面，部门履职产出指标可参考本次评价中以职能归类的各项业务计划完成情况，履职效益指标结合工会调研数据、市总考核要求等，从体现核心职能角度定量、定性较全面地设置。后续绩效跟踪和自评价时，对于存在偏差指标，分析其成因，提出针对性的纠偏措施和改进建议，并加强后续应用与反馈。</w:t>
      </w:r>
    </w:p>
    <w:p>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4.充实部门计划内容，及时更新部门官方信息</w:t>
      </w:r>
    </w:p>
    <w:p>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建议区总在年度计划编制时，根据市总相关文件要求及自身工作合理安排的角度出发，明确各项常规性工作与重点工作的时间进度安排与计划完成业务量，从时效与数量角度充实部门计划。部门官网维护时，同步更新宣传信息，有效利用现有宣传渠道。</w:t>
      </w:r>
    </w:p>
    <w:bookmarkEnd w:id="0"/>
    <w:bookmarkEnd w:id="1"/>
    <w:bookmarkEnd w:id="2"/>
    <w:p>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五、结果应用</w:t>
      </w:r>
    </w:p>
    <w:p>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区总工会高度重视本次部门整体绩效评价工作，对绩效评价报告中提出的问题、建议进行了认真研究。根据本部门实际，区总工会将从四个方面落实和应用本次绩效评价结果。具体如下：</w:t>
      </w:r>
    </w:p>
    <w:p>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（一）</w:t>
      </w:r>
      <w:r>
        <w:rPr>
          <w:rFonts w:hint="eastAsia" w:ascii="楷体_GB2312" w:hAnsi="楷体_GB2312" w:eastAsia="楷体_GB2312" w:cs="楷体_GB2312"/>
          <w:sz w:val="32"/>
          <w:szCs w:val="32"/>
        </w:rPr>
        <w:t>健全预算编制依据，提高预算执行率</w:t>
      </w:r>
    </w:p>
    <w:p>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rPr>
        <w:t>明确部门非编人员（工会社工）补助预算编制依据。按照上海市总工会《关于印发〈街镇“小三级”工会经费补助的实施办法（试行）〉的通知》（沪工总基〔2016〕174号）、《关于社会化工会工作者队伍经费补贴的情况说明》（市总工会基层工作部2023年出具）、《关于同意青浦区总工会开始新一轮职业化、社会化工会工作者招聘工作的请示的批复》（沪工总基〔2023〕25号）文件中规定的经费标准和核定人数进行预算编制。2023年非编人员（工会社工）财政补助预算安排人数为85人，补助标准为3.6万元/人·年。</w:t>
      </w:r>
    </w:p>
    <w:p>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t>梳理、健全区退管会管理工作经费与区劳模管理服务经费项目的立项依据。</w:t>
      </w:r>
    </w:p>
    <w:p>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区退管会管理工作体现了区总工会发挥</w:t>
      </w:r>
      <w:r>
        <w:rPr>
          <w:rFonts w:hint="eastAsia" w:ascii="Times New Roman" w:hAnsi="Times New Roman" w:eastAsia="仿宋_GB2312" w:cs="Times New Roman"/>
          <w:sz w:val="32"/>
          <w:szCs w:val="32"/>
          <w:lang w:val="zh-TW"/>
        </w:rPr>
        <w:t>协助政府做好本区退休职工部分管理、服务工作</w:t>
      </w:r>
      <w:r>
        <w:rPr>
          <w:rFonts w:hint="eastAsia" w:ascii="Times New Roman" w:hAnsi="Times New Roman" w:eastAsia="仿宋_GB2312" w:cs="Times New Roman"/>
          <w:sz w:val="32"/>
          <w:szCs w:val="32"/>
        </w:rPr>
        <w:t>的职能，区退管会管理工作经费作为财政经常性预算项目，其立项依据为《老年人权益保护法》、《上海市老年人权益保护条例》、《上海市人事局关于调整本市机关事业单位退休人员管理活动经费收缴办法的通知》（沪人〔2003〕176号）、《关于进一步做好企业退休人员管理服务工作加大节日期间对困难退休人员帮困力度的通知》（沪国资委分配〔2009〕6号）、《中共上海市委办公厅 上海市人民政府办公厅印发〈关于进一步推进上海市国有企业退休人员社会化管理服务工作的实施意见〉的通知》（沪委办〔2019〕56号）及市退管办的会议精神、市退管办每年下发的通知等文件。</w:t>
      </w:r>
    </w:p>
    <w:p>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劳模管理服务工作是区总工会贯彻落实中央、市委关于加强劳模工作的重要指示精神，按照相关部门的要求，对劳动模范开展关心关爱和帮扶服务的工作，体现了党和政府以及全社会对劳模的关爱。区劳模管理服务经费项目作为财政经常性预算项目，其立项依据为《上海市人民政府批转市总工会等三部门关于进一步做好关心上海市劳动模范工作意见的通知》（沪府发〔2011〕62号）、《关于进一步做好上海劳模关心关爱和帮扶服务工作的实施意见》（沪工总宣〔2016〕38号）、《中华全国总工会办公厅印发〈全国总工会关于进一步加强和规范劳模疗休养工作的意见〉的通知》（总工办发〔2019〕21号）、《关于印发〈关于认真做好关心上海市劳动模范工作的意见〉的通知》（沪工总宣〔2020〕160号）、《关于认真做好2021年度本市全国劳模、市劳模专项补助资金发放工作的通知》（沪工总宣〔2021〕144号）及市总工会每年下发的通知等文件。</w:t>
      </w:r>
    </w:p>
    <w:p>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rPr>
        <w:t>合理安排预算，提高预算执行率。结合项目特点及开展的实际，在历年项目实际执行数基础上合理安排年初预算。在预算执行过程中，加强财务部门与业务部门之间的沟通，能按照项目执行情况及时调整预算。如区劳模创新工作室创建项目，加强对现行管理办法的落实，通过与负责申报基层工会之间的有效沟通，调研、预判工作室运作情况，及时完成评审，根据评审结果，及时进行预算调整。</w:t>
      </w:r>
    </w:p>
    <w:p>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（二）深化部门预算管理，规范部门预决算工作</w:t>
      </w:r>
    </w:p>
    <w:p>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区总工会将按照相关要求，进一步规范部门预决算编报工作。区总工会本级、下属区工人文化宫自2023年起分别独立编制预算及决算，清晰、完整地列示部门整体预决算情况。</w:t>
      </w:r>
    </w:p>
    <w:p>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（三）强化部门绩效管理意识，提高绩效工作质量</w:t>
      </w:r>
    </w:p>
    <w:p>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rPr>
        <w:t>加大预算绩效管理业务培训力度。加强对业务人员的培训，提高业务人员项目绩效目标编制、跟踪、自评填报水平和质量。</w:t>
      </w:r>
    </w:p>
    <w:p>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t>加大对各项支出的绩效运行监控力度。在预算执行环节，财务部门对各项目绩效目标实现程度和预算执行进度实行“双监控”，对绩效目标偏离、未达到预期进度或目标的，提出针对性的纠偏措施和改进建议，推进预算绩效管理全过程应用。</w:t>
      </w:r>
    </w:p>
    <w:p>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（四）充实部门计划内容，及时更新部门官方信息</w:t>
      </w:r>
    </w:p>
    <w:p>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区总工会将在年度计划编制时，根据市总相关文件要求及自身工作合理安排的角度出发，明确各项常规性工作与重点工作的时间进度安排与计划完成业务量，从时效与数量角度充实部门计划。在部门官网维护时，及时同步更新宣传信息，有效利用现有宣传渠道，做好工会宣传工作</w:t>
      </w:r>
    </w:p>
    <w:sectPr>
      <w:footerReference r:id="rId4" w:type="default"/>
      <w:pgSz w:w="11906" w:h="16838"/>
      <w:pgMar w:top="2098" w:right="1474" w:bottom="1984" w:left="158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8420" cy="139700"/>
              <wp:effectExtent l="0" t="0" r="0" b="0"/>
              <wp:wrapNone/>
              <wp:docPr id="2" name="Text Box 1027"/>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wps:spPr>
                    <wps:txbx>
                      <w:txbxContent>
                        <w:p>
                          <w:pPr>
                            <w:pStyle w:val="13"/>
                          </w:pPr>
                          <w:r>
                            <w:fldChar w:fldCharType="begin"/>
                          </w:r>
                          <w:r>
                            <w:instrText xml:space="preserve"> PAGE  \* MERGEFORMAT </w:instrText>
                          </w:r>
                          <w:r>
                            <w:fldChar w:fldCharType="separate"/>
                          </w:r>
                          <w:r>
                            <w:t>12</w:t>
                          </w:r>
                          <w:r>
                            <w:fldChar w:fldCharType="end"/>
                          </w:r>
                        </w:p>
                      </w:txbxContent>
                    </wps:txbx>
                    <wps:bodyPr rot="0" vert="horz" wrap="none" lIns="0" tIns="0" rIns="0" bIns="0" anchor="t" anchorCtr="0" upright="1">
                      <a:spAutoFit/>
                    </wps:bodyPr>
                  </wps:wsp>
                </a:graphicData>
              </a:graphic>
            </wp:anchor>
          </w:drawing>
        </mc:Choice>
        <mc:Fallback>
          <w:pict>
            <v:shape id="Text Box 1027" o:spid="_x0000_s1026" o:spt="202" type="#_x0000_t202" style="position:absolute;left:0pt;margin-top:0pt;height:11pt;width:4.6pt;mso-position-horizontal:center;mso-position-horizontal-relative:margin;mso-wrap-style:none;z-index:251659264;mso-width-relative:page;mso-height-relative:page;" filled="f" stroked="f" coordsize="21600,21600" o:gfxdata="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LW7l30AAAAAIBAAAPAAAAAAAA&#10;AAEAIAAAACIAAABkcnMvZG93bnJldi54bWxQSwECFAAUAAAACACHTuJAS+hL9eEBAAC1AwAADgAA&#10;AAAAAAABACAAAAAfAQAAZHJzL2Uyb0RvYy54bWxQSwUGAAAAAAYABgBZAQAAcgUAAAAA&#10;">
              <v:fill on="f" focussize="0,0"/>
              <v:stroke on="f"/>
              <v:imagedata o:title=""/>
              <o:lock v:ext="edit" aspectratio="f"/>
              <v:textbox inset="0mm,0mm,0mm,0mm" style="mso-fit-shape-to-text:t;">
                <w:txbxContent>
                  <w:p>
                    <w:pPr>
                      <w:pStyle w:val="13"/>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16"/>
        <w:spacing w:before="156" w:after="156"/>
      </w:pPr>
      <w:r>
        <w:rPr>
          <w:rStyle w:val="25"/>
        </w:rPr>
        <w:footnoteRef/>
      </w:r>
      <w:r>
        <w:t xml:space="preserve"> </w:t>
      </w:r>
      <w:r>
        <w:rPr>
          <w:rFonts w:hint="eastAsia"/>
        </w:rPr>
        <w:t>青浦区总工会实有下属单位1家，为青浦区工人文化宫（青浦区工会职工援助服务中心）。此处根据2022年部门预算信息公示中表述为青浦区总工会无下属单位。</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val="1"/>
  <w:bordersDoNotSurroundFooter w:val="1"/>
  <w:hideSpellingError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Y2Q3Nzk2MTY3MmM4NzQ5N2YwYjdlOTgxOWIzYzQifQ=="/>
    <w:docVar w:name="KSO_WPS_MARK_KEY" w:val="2eb657a2-187c-426b-b00d-9d4389bbd3cd"/>
  </w:docVars>
  <w:rsids>
    <w:rsidRoot w:val="00215D9C"/>
    <w:rsid w:val="0001107B"/>
    <w:rsid w:val="00023734"/>
    <w:rsid w:val="00072736"/>
    <w:rsid w:val="00077B79"/>
    <w:rsid w:val="000D05DB"/>
    <w:rsid w:val="000D0684"/>
    <w:rsid w:val="000E7B1F"/>
    <w:rsid w:val="000F6587"/>
    <w:rsid w:val="001108D4"/>
    <w:rsid w:val="001315D9"/>
    <w:rsid w:val="00172F83"/>
    <w:rsid w:val="00181CC6"/>
    <w:rsid w:val="00184FE3"/>
    <w:rsid w:val="00197294"/>
    <w:rsid w:val="001B05AE"/>
    <w:rsid w:val="001B4F39"/>
    <w:rsid w:val="001D1C34"/>
    <w:rsid w:val="00215D9C"/>
    <w:rsid w:val="002236B2"/>
    <w:rsid w:val="00247488"/>
    <w:rsid w:val="002801A2"/>
    <w:rsid w:val="00286C91"/>
    <w:rsid w:val="002971D6"/>
    <w:rsid w:val="002B3BDD"/>
    <w:rsid w:val="002D1A4D"/>
    <w:rsid w:val="002E1F6F"/>
    <w:rsid w:val="002E7A27"/>
    <w:rsid w:val="002F46D6"/>
    <w:rsid w:val="002F6DFD"/>
    <w:rsid w:val="002F732B"/>
    <w:rsid w:val="00327750"/>
    <w:rsid w:val="00342603"/>
    <w:rsid w:val="003577E7"/>
    <w:rsid w:val="003613AD"/>
    <w:rsid w:val="00361FA4"/>
    <w:rsid w:val="00363A03"/>
    <w:rsid w:val="00372ACE"/>
    <w:rsid w:val="00372DDB"/>
    <w:rsid w:val="00375EE2"/>
    <w:rsid w:val="003B5385"/>
    <w:rsid w:val="003D0C49"/>
    <w:rsid w:val="003D23E5"/>
    <w:rsid w:val="003D4B88"/>
    <w:rsid w:val="003D78A5"/>
    <w:rsid w:val="003E583B"/>
    <w:rsid w:val="003F0A71"/>
    <w:rsid w:val="003F3DB6"/>
    <w:rsid w:val="00415C54"/>
    <w:rsid w:val="00421099"/>
    <w:rsid w:val="00421A04"/>
    <w:rsid w:val="00475182"/>
    <w:rsid w:val="00482D85"/>
    <w:rsid w:val="004863AD"/>
    <w:rsid w:val="004911C3"/>
    <w:rsid w:val="004D0239"/>
    <w:rsid w:val="004D399A"/>
    <w:rsid w:val="004E4E63"/>
    <w:rsid w:val="004E6928"/>
    <w:rsid w:val="00510E63"/>
    <w:rsid w:val="00534A77"/>
    <w:rsid w:val="00544040"/>
    <w:rsid w:val="005530E6"/>
    <w:rsid w:val="00572097"/>
    <w:rsid w:val="005836C4"/>
    <w:rsid w:val="00586196"/>
    <w:rsid w:val="00586920"/>
    <w:rsid w:val="00597E28"/>
    <w:rsid w:val="005E1A29"/>
    <w:rsid w:val="005E224D"/>
    <w:rsid w:val="005F4FF2"/>
    <w:rsid w:val="00610597"/>
    <w:rsid w:val="0062185F"/>
    <w:rsid w:val="006366EE"/>
    <w:rsid w:val="00644BF1"/>
    <w:rsid w:val="00647819"/>
    <w:rsid w:val="00650E82"/>
    <w:rsid w:val="00653C3A"/>
    <w:rsid w:val="00671A49"/>
    <w:rsid w:val="00671F7E"/>
    <w:rsid w:val="0069276D"/>
    <w:rsid w:val="00696B16"/>
    <w:rsid w:val="006A2A4B"/>
    <w:rsid w:val="006B0935"/>
    <w:rsid w:val="00711A21"/>
    <w:rsid w:val="00747E96"/>
    <w:rsid w:val="00752996"/>
    <w:rsid w:val="00757E8C"/>
    <w:rsid w:val="00763DC5"/>
    <w:rsid w:val="00784924"/>
    <w:rsid w:val="0078768E"/>
    <w:rsid w:val="007B44B7"/>
    <w:rsid w:val="007B6AB7"/>
    <w:rsid w:val="007D2C5D"/>
    <w:rsid w:val="007D3E4C"/>
    <w:rsid w:val="007F6D0F"/>
    <w:rsid w:val="008445C9"/>
    <w:rsid w:val="008511AD"/>
    <w:rsid w:val="008522A8"/>
    <w:rsid w:val="00876978"/>
    <w:rsid w:val="00884D31"/>
    <w:rsid w:val="008D536F"/>
    <w:rsid w:val="008D7FED"/>
    <w:rsid w:val="008E1A99"/>
    <w:rsid w:val="008F0A53"/>
    <w:rsid w:val="00903875"/>
    <w:rsid w:val="00964BD4"/>
    <w:rsid w:val="00983790"/>
    <w:rsid w:val="009C58DC"/>
    <w:rsid w:val="009E0555"/>
    <w:rsid w:val="00A020CC"/>
    <w:rsid w:val="00A06300"/>
    <w:rsid w:val="00A175F5"/>
    <w:rsid w:val="00A30B1D"/>
    <w:rsid w:val="00AB4023"/>
    <w:rsid w:val="00AF23D7"/>
    <w:rsid w:val="00B32FA0"/>
    <w:rsid w:val="00B413DF"/>
    <w:rsid w:val="00B47CB9"/>
    <w:rsid w:val="00B568C6"/>
    <w:rsid w:val="00B61629"/>
    <w:rsid w:val="00B70009"/>
    <w:rsid w:val="00B85071"/>
    <w:rsid w:val="00B905BF"/>
    <w:rsid w:val="00BA23D6"/>
    <w:rsid w:val="00BA7AF9"/>
    <w:rsid w:val="00BD0EDC"/>
    <w:rsid w:val="00C07550"/>
    <w:rsid w:val="00C1567B"/>
    <w:rsid w:val="00C2556B"/>
    <w:rsid w:val="00C50651"/>
    <w:rsid w:val="00C62588"/>
    <w:rsid w:val="00C94AD0"/>
    <w:rsid w:val="00CA20EC"/>
    <w:rsid w:val="00CA6F6C"/>
    <w:rsid w:val="00CC39C5"/>
    <w:rsid w:val="00CD38DA"/>
    <w:rsid w:val="00CE0612"/>
    <w:rsid w:val="00D705A3"/>
    <w:rsid w:val="00DA3859"/>
    <w:rsid w:val="00DE52C6"/>
    <w:rsid w:val="00DE6026"/>
    <w:rsid w:val="00E32715"/>
    <w:rsid w:val="00E5775E"/>
    <w:rsid w:val="00E95264"/>
    <w:rsid w:val="00EB484B"/>
    <w:rsid w:val="00EC5F4E"/>
    <w:rsid w:val="00ED13EB"/>
    <w:rsid w:val="00EE00EA"/>
    <w:rsid w:val="00F1247C"/>
    <w:rsid w:val="00F35E90"/>
    <w:rsid w:val="00F618E6"/>
    <w:rsid w:val="00F7522B"/>
    <w:rsid w:val="00FA6CC5"/>
    <w:rsid w:val="00FC142B"/>
    <w:rsid w:val="00FC4A9B"/>
    <w:rsid w:val="00FE1985"/>
    <w:rsid w:val="00FE1FB1"/>
    <w:rsid w:val="01C506B1"/>
    <w:rsid w:val="01E274B5"/>
    <w:rsid w:val="0227311A"/>
    <w:rsid w:val="024F09B8"/>
    <w:rsid w:val="025435F0"/>
    <w:rsid w:val="032A1114"/>
    <w:rsid w:val="036B7036"/>
    <w:rsid w:val="043833BC"/>
    <w:rsid w:val="04AE367F"/>
    <w:rsid w:val="04C00B37"/>
    <w:rsid w:val="04E15802"/>
    <w:rsid w:val="051C2CDE"/>
    <w:rsid w:val="054A15F9"/>
    <w:rsid w:val="054A19C3"/>
    <w:rsid w:val="054B5371"/>
    <w:rsid w:val="055204AE"/>
    <w:rsid w:val="05B41169"/>
    <w:rsid w:val="05C55721"/>
    <w:rsid w:val="05EA40D8"/>
    <w:rsid w:val="06DD024B"/>
    <w:rsid w:val="06F8420F"/>
    <w:rsid w:val="07442078"/>
    <w:rsid w:val="0782200B"/>
    <w:rsid w:val="07862889"/>
    <w:rsid w:val="07996868"/>
    <w:rsid w:val="086F1377"/>
    <w:rsid w:val="08966904"/>
    <w:rsid w:val="089F7EAE"/>
    <w:rsid w:val="08A63B5F"/>
    <w:rsid w:val="08E04AE9"/>
    <w:rsid w:val="096B7D90"/>
    <w:rsid w:val="09E0252C"/>
    <w:rsid w:val="09F67AC4"/>
    <w:rsid w:val="0A1850E5"/>
    <w:rsid w:val="0A2B5992"/>
    <w:rsid w:val="0A794981"/>
    <w:rsid w:val="0ACE4677"/>
    <w:rsid w:val="0AE0655C"/>
    <w:rsid w:val="0B0F31B9"/>
    <w:rsid w:val="0B696551"/>
    <w:rsid w:val="0B941820"/>
    <w:rsid w:val="0BDF05C2"/>
    <w:rsid w:val="0C0F534B"/>
    <w:rsid w:val="0C2C3490"/>
    <w:rsid w:val="0C34090D"/>
    <w:rsid w:val="0C4C20FB"/>
    <w:rsid w:val="0CA35A93"/>
    <w:rsid w:val="0CF167FE"/>
    <w:rsid w:val="0CFF716D"/>
    <w:rsid w:val="0D325089"/>
    <w:rsid w:val="0DCB52A1"/>
    <w:rsid w:val="0DFD1735"/>
    <w:rsid w:val="0E8152A5"/>
    <w:rsid w:val="0EAA135B"/>
    <w:rsid w:val="0F900551"/>
    <w:rsid w:val="100076EF"/>
    <w:rsid w:val="102B4C43"/>
    <w:rsid w:val="10507CE0"/>
    <w:rsid w:val="10EF74F9"/>
    <w:rsid w:val="11050ACA"/>
    <w:rsid w:val="110E5BD1"/>
    <w:rsid w:val="1142587A"/>
    <w:rsid w:val="11607055"/>
    <w:rsid w:val="117C6E5A"/>
    <w:rsid w:val="11BF37BC"/>
    <w:rsid w:val="11C72224"/>
    <w:rsid w:val="12394ECF"/>
    <w:rsid w:val="123C7D9C"/>
    <w:rsid w:val="12A54313"/>
    <w:rsid w:val="133631BD"/>
    <w:rsid w:val="13B80076"/>
    <w:rsid w:val="14121DDD"/>
    <w:rsid w:val="14170C30"/>
    <w:rsid w:val="142474B9"/>
    <w:rsid w:val="14A03CF3"/>
    <w:rsid w:val="154405E6"/>
    <w:rsid w:val="15960EFB"/>
    <w:rsid w:val="15EE78D5"/>
    <w:rsid w:val="15EE7D7F"/>
    <w:rsid w:val="160B6B83"/>
    <w:rsid w:val="16273291"/>
    <w:rsid w:val="1646492C"/>
    <w:rsid w:val="1653724C"/>
    <w:rsid w:val="167A5AB7"/>
    <w:rsid w:val="168B3820"/>
    <w:rsid w:val="16946B78"/>
    <w:rsid w:val="16F13FCB"/>
    <w:rsid w:val="16F3430E"/>
    <w:rsid w:val="17005FBC"/>
    <w:rsid w:val="17800EAB"/>
    <w:rsid w:val="17C27715"/>
    <w:rsid w:val="17FD24FB"/>
    <w:rsid w:val="183A07EC"/>
    <w:rsid w:val="18534811"/>
    <w:rsid w:val="185E3EB2"/>
    <w:rsid w:val="187C6677"/>
    <w:rsid w:val="187F73B4"/>
    <w:rsid w:val="189F7A56"/>
    <w:rsid w:val="18C9640A"/>
    <w:rsid w:val="192300D3"/>
    <w:rsid w:val="196219ED"/>
    <w:rsid w:val="199873A7"/>
    <w:rsid w:val="19A45A51"/>
    <w:rsid w:val="19C822BE"/>
    <w:rsid w:val="1A473F02"/>
    <w:rsid w:val="1A917D10"/>
    <w:rsid w:val="1AE94FB9"/>
    <w:rsid w:val="1B012302"/>
    <w:rsid w:val="1B6B54C6"/>
    <w:rsid w:val="1BCF2401"/>
    <w:rsid w:val="1C4701E9"/>
    <w:rsid w:val="1C632B49"/>
    <w:rsid w:val="1C8167C1"/>
    <w:rsid w:val="1CBB2985"/>
    <w:rsid w:val="1CCE26B8"/>
    <w:rsid w:val="1CDA2E0B"/>
    <w:rsid w:val="1D2B3169"/>
    <w:rsid w:val="1D2D2B84"/>
    <w:rsid w:val="1D83447D"/>
    <w:rsid w:val="1DCF4D42"/>
    <w:rsid w:val="1DE63333"/>
    <w:rsid w:val="1E032835"/>
    <w:rsid w:val="1E0565AE"/>
    <w:rsid w:val="1E5906A7"/>
    <w:rsid w:val="1E733517"/>
    <w:rsid w:val="1E9A6CF6"/>
    <w:rsid w:val="1EA731C1"/>
    <w:rsid w:val="1EB16209"/>
    <w:rsid w:val="1EBE4049"/>
    <w:rsid w:val="1F550E6F"/>
    <w:rsid w:val="1F5778CC"/>
    <w:rsid w:val="1F7354C4"/>
    <w:rsid w:val="1F890B18"/>
    <w:rsid w:val="1FB45B95"/>
    <w:rsid w:val="200411CC"/>
    <w:rsid w:val="201947E3"/>
    <w:rsid w:val="20B120D5"/>
    <w:rsid w:val="20C75D9C"/>
    <w:rsid w:val="20EE50D7"/>
    <w:rsid w:val="20F46465"/>
    <w:rsid w:val="215F7D83"/>
    <w:rsid w:val="217E28FF"/>
    <w:rsid w:val="21C640F3"/>
    <w:rsid w:val="21C916A0"/>
    <w:rsid w:val="21E87D78"/>
    <w:rsid w:val="22121299"/>
    <w:rsid w:val="2273035C"/>
    <w:rsid w:val="22A12D9F"/>
    <w:rsid w:val="22BF31CF"/>
    <w:rsid w:val="22CC1448"/>
    <w:rsid w:val="22D6753F"/>
    <w:rsid w:val="235614BA"/>
    <w:rsid w:val="235A2EF8"/>
    <w:rsid w:val="23971A56"/>
    <w:rsid w:val="23BE3486"/>
    <w:rsid w:val="23C2621C"/>
    <w:rsid w:val="23C93BD9"/>
    <w:rsid w:val="23E9602A"/>
    <w:rsid w:val="23E97DD8"/>
    <w:rsid w:val="241A2377"/>
    <w:rsid w:val="24314F35"/>
    <w:rsid w:val="248F0487"/>
    <w:rsid w:val="251740CB"/>
    <w:rsid w:val="251D242F"/>
    <w:rsid w:val="25643BBA"/>
    <w:rsid w:val="25E92311"/>
    <w:rsid w:val="2611005B"/>
    <w:rsid w:val="26127ABA"/>
    <w:rsid w:val="26502390"/>
    <w:rsid w:val="266C6217"/>
    <w:rsid w:val="26BD57B7"/>
    <w:rsid w:val="26C04761"/>
    <w:rsid w:val="26DB60FD"/>
    <w:rsid w:val="26F86CAF"/>
    <w:rsid w:val="272E26D1"/>
    <w:rsid w:val="2826784C"/>
    <w:rsid w:val="2859377E"/>
    <w:rsid w:val="28D21782"/>
    <w:rsid w:val="28D25F2A"/>
    <w:rsid w:val="28E03E9F"/>
    <w:rsid w:val="290F208E"/>
    <w:rsid w:val="291B4ED7"/>
    <w:rsid w:val="29645A48"/>
    <w:rsid w:val="298BF6D2"/>
    <w:rsid w:val="299B6018"/>
    <w:rsid w:val="29C727E1"/>
    <w:rsid w:val="29C8638D"/>
    <w:rsid w:val="29F23B7C"/>
    <w:rsid w:val="2AF05EF0"/>
    <w:rsid w:val="2B177920"/>
    <w:rsid w:val="2B4D50F0"/>
    <w:rsid w:val="2B9D7E25"/>
    <w:rsid w:val="2BCF1FA9"/>
    <w:rsid w:val="2BFC2BD6"/>
    <w:rsid w:val="2C083D77"/>
    <w:rsid w:val="2C7218B3"/>
    <w:rsid w:val="2D3E73E6"/>
    <w:rsid w:val="2D8F7F8D"/>
    <w:rsid w:val="2DA134D1"/>
    <w:rsid w:val="2DAD00C8"/>
    <w:rsid w:val="2DB96A6D"/>
    <w:rsid w:val="2DFE0923"/>
    <w:rsid w:val="2E036741"/>
    <w:rsid w:val="2E262354"/>
    <w:rsid w:val="2E444588"/>
    <w:rsid w:val="2E60513A"/>
    <w:rsid w:val="2E682AAF"/>
    <w:rsid w:val="2E935510"/>
    <w:rsid w:val="2EE47B19"/>
    <w:rsid w:val="2F3F2FA2"/>
    <w:rsid w:val="300541EB"/>
    <w:rsid w:val="30654C8A"/>
    <w:rsid w:val="308415B4"/>
    <w:rsid w:val="30A05CC2"/>
    <w:rsid w:val="30A32926"/>
    <w:rsid w:val="30E81B43"/>
    <w:rsid w:val="31101099"/>
    <w:rsid w:val="315F16D9"/>
    <w:rsid w:val="31692558"/>
    <w:rsid w:val="31A57A34"/>
    <w:rsid w:val="326E6078"/>
    <w:rsid w:val="32C0264B"/>
    <w:rsid w:val="33095DA0"/>
    <w:rsid w:val="333C6176"/>
    <w:rsid w:val="333D3C9C"/>
    <w:rsid w:val="33C00B55"/>
    <w:rsid w:val="33D04B10"/>
    <w:rsid w:val="33DC1707"/>
    <w:rsid w:val="34391304"/>
    <w:rsid w:val="34607383"/>
    <w:rsid w:val="346F4A46"/>
    <w:rsid w:val="349D49F2"/>
    <w:rsid w:val="34D847FE"/>
    <w:rsid w:val="34EC597A"/>
    <w:rsid w:val="356B4AF0"/>
    <w:rsid w:val="35A71476"/>
    <w:rsid w:val="35BC359E"/>
    <w:rsid w:val="35D05C27"/>
    <w:rsid w:val="35EF74CF"/>
    <w:rsid w:val="36527A5E"/>
    <w:rsid w:val="36C456AD"/>
    <w:rsid w:val="36EF34FF"/>
    <w:rsid w:val="3727713D"/>
    <w:rsid w:val="3776528F"/>
    <w:rsid w:val="3783530A"/>
    <w:rsid w:val="37B95FE7"/>
    <w:rsid w:val="37F708BD"/>
    <w:rsid w:val="37FF4F7D"/>
    <w:rsid w:val="380A05F1"/>
    <w:rsid w:val="381B2284"/>
    <w:rsid w:val="382B67B9"/>
    <w:rsid w:val="38523D46"/>
    <w:rsid w:val="3891486E"/>
    <w:rsid w:val="390C65EA"/>
    <w:rsid w:val="39292CF8"/>
    <w:rsid w:val="394144E6"/>
    <w:rsid w:val="396C1BCF"/>
    <w:rsid w:val="39A71B9F"/>
    <w:rsid w:val="3A575643"/>
    <w:rsid w:val="3A685AA2"/>
    <w:rsid w:val="3A8217BA"/>
    <w:rsid w:val="3AA278B0"/>
    <w:rsid w:val="3AA765CB"/>
    <w:rsid w:val="3ACE45E3"/>
    <w:rsid w:val="3ACF167E"/>
    <w:rsid w:val="3B224106"/>
    <w:rsid w:val="3B3039D2"/>
    <w:rsid w:val="3B696CCA"/>
    <w:rsid w:val="3B740855"/>
    <w:rsid w:val="3B787F43"/>
    <w:rsid w:val="3C177780"/>
    <w:rsid w:val="3C90308E"/>
    <w:rsid w:val="3D3879AE"/>
    <w:rsid w:val="3E7E3AE6"/>
    <w:rsid w:val="3EAA48DB"/>
    <w:rsid w:val="3ECA2432"/>
    <w:rsid w:val="3F4A68EA"/>
    <w:rsid w:val="3F650802"/>
    <w:rsid w:val="3F6D6CC7"/>
    <w:rsid w:val="3F7171A7"/>
    <w:rsid w:val="3F740A45"/>
    <w:rsid w:val="401D2E8B"/>
    <w:rsid w:val="40240771"/>
    <w:rsid w:val="40306512"/>
    <w:rsid w:val="40415748"/>
    <w:rsid w:val="4058639A"/>
    <w:rsid w:val="40A11D0E"/>
    <w:rsid w:val="40DA47B5"/>
    <w:rsid w:val="40E86A72"/>
    <w:rsid w:val="411307DA"/>
    <w:rsid w:val="41362456"/>
    <w:rsid w:val="41405083"/>
    <w:rsid w:val="4142162D"/>
    <w:rsid w:val="41A24CB0"/>
    <w:rsid w:val="41FC4DA7"/>
    <w:rsid w:val="41FD3C55"/>
    <w:rsid w:val="4224277E"/>
    <w:rsid w:val="425132C0"/>
    <w:rsid w:val="43305BFF"/>
    <w:rsid w:val="434C281A"/>
    <w:rsid w:val="43534486"/>
    <w:rsid w:val="437E1E93"/>
    <w:rsid w:val="43D441A9"/>
    <w:rsid w:val="43DB5537"/>
    <w:rsid w:val="43E908BD"/>
    <w:rsid w:val="44115511"/>
    <w:rsid w:val="441753C0"/>
    <w:rsid w:val="44427364"/>
    <w:rsid w:val="444E7AB7"/>
    <w:rsid w:val="445A2900"/>
    <w:rsid w:val="44F3065E"/>
    <w:rsid w:val="4572682B"/>
    <w:rsid w:val="457B2B2E"/>
    <w:rsid w:val="45A71B75"/>
    <w:rsid w:val="45AA6A73"/>
    <w:rsid w:val="45AB14B8"/>
    <w:rsid w:val="45CE552A"/>
    <w:rsid w:val="45D109A0"/>
    <w:rsid w:val="45D16BF2"/>
    <w:rsid w:val="45FC3A47"/>
    <w:rsid w:val="46367216"/>
    <w:rsid w:val="465D2233"/>
    <w:rsid w:val="46642ED4"/>
    <w:rsid w:val="46E85FAF"/>
    <w:rsid w:val="47262F6D"/>
    <w:rsid w:val="47540897"/>
    <w:rsid w:val="4791488A"/>
    <w:rsid w:val="47FE2089"/>
    <w:rsid w:val="487B3A3B"/>
    <w:rsid w:val="487B654C"/>
    <w:rsid w:val="48904B42"/>
    <w:rsid w:val="48AF383A"/>
    <w:rsid w:val="48B00D40"/>
    <w:rsid w:val="48EC6878"/>
    <w:rsid w:val="48F03833"/>
    <w:rsid w:val="492C4DD3"/>
    <w:rsid w:val="49382AE4"/>
    <w:rsid w:val="49492275"/>
    <w:rsid w:val="49FC7FB5"/>
    <w:rsid w:val="4A091E94"/>
    <w:rsid w:val="4A205A52"/>
    <w:rsid w:val="4A8B3943"/>
    <w:rsid w:val="4AAF6DD6"/>
    <w:rsid w:val="4ADD0C10"/>
    <w:rsid w:val="4B00052E"/>
    <w:rsid w:val="4B054C48"/>
    <w:rsid w:val="4B1732F9"/>
    <w:rsid w:val="4B35377F"/>
    <w:rsid w:val="4BB9615E"/>
    <w:rsid w:val="4BC863A1"/>
    <w:rsid w:val="4C254AA8"/>
    <w:rsid w:val="4C4A5008"/>
    <w:rsid w:val="4C5102DA"/>
    <w:rsid w:val="4C983FC5"/>
    <w:rsid w:val="4CBE1552"/>
    <w:rsid w:val="4CFA4C80"/>
    <w:rsid w:val="4D6D36A4"/>
    <w:rsid w:val="4DE374C2"/>
    <w:rsid w:val="4E2E44B5"/>
    <w:rsid w:val="4E5E2FEC"/>
    <w:rsid w:val="4EF67834"/>
    <w:rsid w:val="4F831051"/>
    <w:rsid w:val="4F9D7B44"/>
    <w:rsid w:val="4FA113E3"/>
    <w:rsid w:val="500F0A42"/>
    <w:rsid w:val="50277D8E"/>
    <w:rsid w:val="503264DF"/>
    <w:rsid w:val="50405CDD"/>
    <w:rsid w:val="5043693E"/>
    <w:rsid w:val="505E5526"/>
    <w:rsid w:val="50682032"/>
    <w:rsid w:val="50811214"/>
    <w:rsid w:val="50827466"/>
    <w:rsid w:val="51167BAE"/>
    <w:rsid w:val="51FF52CB"/>
    <w:rsid w:val="524B7D2C"/>
    <w:rsid w:val="52B0193D"/>
    <w:rsid w:val="53277E51"/>
    <w:rsid w:val="533F2EDB"/>
    <w:rsid w:val="53486019"/>
    <w:rsid w:val="53733FC5"/>
    <w:rsid w:val="538F33EB"/>
    <w:rsid w:val="53C733E2"/>
    <w:rsid w:val="53FC12DE"/>
    <w:rsid w:val="53FC752F"/>
    <w:rsid w:val="54216F96"/>
    <w:rsid w:val="54BE6593"/>
    <w:rsid w:val="54E91C9F"/>
    <w:rsid w:val="55160C9A"/>
    <w:rsid w:val="55175CA3"/>
    <w:rsid w:val="55326F81"/>
    <w:rsid w:val="556C242A"/>
    <w:rsid w:val="558F0320"/>
    <w:rsid w:val="55C27722"/>
    <w:rsid w:val="55CD4B0F"/>
    <w:rsid w:val="565029B8"/>
    <w:rsid w:val="565F2A9C"/>
    <w:rsid w:val="565F7902"/>
    <w:rsid w:val="5684380C"/>
    <w:rsid w:val="5731061B"/>
    <w:rsid w:val="57A777B2"/>
    <w:rsid w:val="58433BAC"/>
    <w:rsid w:val="588E2720"/>
    <w:rsid w:val="58A67A6A"/>
    <w:rsid w:val="58BE6129"/>
    <w:rsid w:val="59011144"/>
    <w:rsid w:val="5925542E"/>
    <w:rsid w:val="599E0097"/>
    <w:rsid w:val="59DB3743"/>
    <w:rsid w:val="5A2B4343"/>
    <w:rsid w:val="5A3410A5"/>
    <w:rsid w:val="5AD85ED5"/>
    <w:rsid w:val="5AD92379"/>
    <w:rsid w:val="5AE9584C"/>
    <w:rsid w:val="5AED1980"/>
    <w:rsid w:val="5AF0321E"/>
    <w:rsid w:val="5B1F3B03"/>
    <w:rsid w:val="5B372426"/>
    <w:rsid w:val="5B4812AC"/>
    <w:rsid w:val="5B7E082A"/>
    <w:rsid w:val="5BE54D4D"/>
    <w:rsid w:val="5C4D37B2"/>
    <w:rsid w:val="5C62639E"/>
    <w:rsid w:val="5CB74532"/>
    <w:rsid w:val="5CBC5AAE"/>
    <w:rsid w:val="5CCC3817"/>
    <w:rsid w:val="5CFF1E3E"/>
    <w:rsid w:val="5D251E36"/>
    <w:rsid w:val="5D9E3821"/>
    <w:rsid w:val="5DA327CA"/>
    <w:rsid w:val="5DEB5F1F"/>
    <w:rsid w:val="5EA52572"/>
    <w:rsid w:val="5ECC5D50"/>
    <w:rsid w:val="5EDB5F93"/>
    <w:rsid w:val="5F28761E"/>
    <w:rsid w:val="5F487ACD"/>
    <w:rsid w:val="5F4F7F4E"/>
    <w:rsid w:val="5F5E109E"/>
    <w:rsid w:val="5F795ED8"/>
    <w:rsid w:val="602120CC"/>
    <w:rsid w:val="60305190"/>
    <w:rsid w:val="60370316"/>
    <w:rsid w:val="603915DE"/>
    <w:rsid w:val="6042276E"/>
    <w:rsid w:val="60791F08"/>
    <w:rsid w:val="60D73CCA"/>
    <w:rsid w:val="60F33A68"/>
    <w:rsid w:val="610702C1"/>
    <w:rsid w:val="616D381B"/>
    <w:rsid w:val="61734BA9"/>
    <w:rsid w:val="61BC3AF2"/>
    <w:rsid w:val="61FF6D39"/>
    <w:rsid w:val="62074692"/>
    <w:rsid w:val="62210558"/>
    <w:rsid w:val="62522A10"/>
    <w:rsid w:val="628D57F7"/>
    <w:rsid w:val="6291178B"/>
    <w:rsid w:val="62B8230C"/>
    <w:rsid w:val="62FA7330"/>
    <w:rsid w:val="637523FE"/>
    <w:rsid w:val="639332E1"/>
    <w:rsid w:val="639826A5"/>
    <w:rsid w:val="640B2E77"/>
    <w:rsid w:val="646507D9"/>
    <w:rsid w:val="64783A52"/>
    <w:rsid w:val="64AA6B34"/>
    <w:rsid w:val="64BD6867"/>
    <w:rsid w:val="64D60799"/>
    <w:rsid w:val="64F5252A"/>
    <w:rsid w:val="65165F77"/>
    <w:rsid w:val="651A5A67"/>
    <w:rsid w:val="656425CB"/>
    <w:rsid w:val="661029C7"/>
    <w:rsid w:val="665579AF"/>
    <w:rsid w:val="66B819FA"/>
    <w:rsid w:val="66C8504F"/>
    <w:rsid w:val="66D460EA"/>
    <w:rsid w:val="670F0ED0"/>
    <w:rsid w:val="673624D4"/>
    <w:rsid w:val="67931B01"/>
    <w:rsid w:val="679D1B5E"/>
    <w:rsid w:val="67A36CAF"/>
    <w:rsid w:val="67CD422D"/>
    <w:rsid w:val="68096724"/>
    <w:rsid w:val="6871545D"/>
    <w:rsid w:val="688D096D"/>
    <w:rsid w:val="689C6793"/>
    <w:rsid w:val="68E1064A"/>
    <w:rsid w:val="68E17075"/>
    <w:rsid w:val="690D7691"/>
    <w:rsid w:val="691427CE"/>
    <w:rsid w:val="69652C31"/>
    <w:rsid w:val="697D0373"/>
    <w:rsid w:val="69810A87"/>
    <w:rsid w:val="69995F31"/>
    <w:rsid w:val="699F335A"/>
    <w:rsid w:val="69EC72AD"/>
    <w:rsid w:val="69F36887"/>
    <w:rsid w:val="6A2E3D63"/>
    <w:rsid w:val="6A7E21FE"/>
    <w:rsid w:val="6A9028E9"/>
    <w:rsid w:val="6A980D5F"/>
    <w:rsid w:val="6BAD46D5"/>
    <w:rsid w:val="6BBA3B00"/>
    <w:rsid w:val="6BEF4B83"/>
    <w:rsid w:val="6C0B13C5"/>
    <w:rsid w:val="6C0C3C30"/>
    <w:rsid w:val="6C635F46"/>
    <w:rsid w:val="6C9F2CF6"/>
    <w:rsid w:val="6D5E670D"/>
    <w:rsid w:val="6D6F4477"/>
    <w:rsid w:val="6DAF51BB"/>
    <w:rsid w:val="6DC24EEE"/>
    <w:rsid w:val="6E080427"/>
    <w:rsid w:val="6E1F7C4B"/>
    <w:rsid w:val="6E5813AF"/>
    <w:rsid w:val="6E5B2C4D"/>
    <w:rsid w:val="6EE449F0"/>
    <w:rsid w:val="6EFF7A7C"/>
    <w:rsid w:val="6F1A48B6"/>
    <w:rsid w:val="702C2AF3"/>
    <w:rsid w:val="70814BED"/>
    <w:rsid w:val="70DA2C43"/>
    <w:rsid w:val="713042C9"/>
    <w:rsid w:val="713A5062"/>
    <w:rsid w:val="7141612A"/>
    <w:rsid w:val="715C2F64"/>
    <w:rsid w:val="7194757D"/>
    <w:rsid w:val="71E116BB"/>
    <w:rsid w:val="720B6662"/>
    <w:rsid w:val="722D66AE"/>
    <w:rsid w:val="724A54B2"/>
    <w:rsid w:val="72A46970"/>
    <w:rsid w:val="72D47A06"/>
    <w:rsid w:val="72D54ABB"/>
    <w:rsid w:val="72E574BF"/>
    <w:rsid w:val="73506AF8"/>
    <w:rsid w:val="73896FCC"/>
    <w:rsid w:val="739C3AEB"/>
    <w:rsid w:val="74143FCA"/>
    <w:rsid w:val="746611A6"/>
    <w:rsid w:val="74994503"/>
    <w:rsid w:val="750E2E16"/>
    <w:rsid w:val="755D54FC"/>
    <w:rsid w:val="75A373B3"/>
    <w:rsid w:val="75AD0EA8"/>
    <w:rsid w:val="75B46013"/>
    <w:rsid w:val="75BE25A2"/>
    <w:rsid w:val="75CD61DE"/>
    <w:rsid w:val="75F61BD9"/>
    <w:rsid w:val="762B1157"/>
    <w:rsid w:val="76361FD5"/>
    <w:rsid w:val="76FA1255"/>
    <w:rsid w:val="771066E9"/>
    <w:rsid w:val="77687E37"/>
    <w:rsid w:val="778E659F"/>
    <w:rsid w:val="780B7492"/>
    <w:rsid w:val="781E0F73"/>
    <w:rsid w:val="78322313"/>
    <w:rsid w:val="787119EB"/>
    <w:rsid w:val="787C3EEC"/>
    <w:rsid w:val="78830A28"/>
    <w:rsid w:val="79226841"/>
    <w:rsid w:val="792C76C0"/>
    <w:rsid w:val="7936053E"/>
    <w:rsid w:val="797352EE"/>
    <w:rsid w:val="7A0D5743"/>
    <w:rsid w:val="7A326F58"/>
    <w:rsid w:val="7A3C3932"/>
    <w:rsid w:val="7ABD0F17"/>
    <w:rsid w:val="7AC11F15"/>
    <w:rsid w:val="7B5829EE"/>
    <w:rsid w:val="7BA75723"/>
    <w:rsid w:val="7BB816DF"/>
    <w:rsid w:val="7BEE3352"/>
    <w:rsid w:val="7C38637B"/>
    <w:rsid w:val="7C7F21C0"/>
    <w:rsid w:val="7CDD764F"/>
    <w:rsid w:val="7D567E2D"/>
    <w:rsid w:val="7D5D7C05"/>
    <w:rsid w:val="7D8E26F7"/>
    <w:rsid w:val="7DD969D7"/>
    <w:rsid w:val="7DE642E1"/>
    <w:rsid w:val="7DEB69A5"/>
    <w:rsid w:val="7E8A5499"/>
    <w:rsid w:val="7E906943"/>
    <w:rsid w:val="7E9941A9"/>
    <w:rsid w:val="7EC14D4E"/>
    <w:rsid w:val="7ED47208"/>
    <w:rsid w:val="7EF24F07"/>
    <w:rsid w:val="7F2A46A1"/>
    <w:rsid w:val="7F45772D"/>
    <w:rsid w:val="7F7E49ED"/>
    <w:rsid w:val="7FAE7080"/>
    <w:rsid w:val="7FD909FB"/>
    <w:rsid w:val="7FDFE8B3"/>
    <w:rsid w:val="7FE40CF4"/>
    <w:rsid w:val="B6B53D4F"/>
    <w:rsid w:val="BBFFB3E2"/>
    <w:rsid w:val="DFE3517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qFormat="1" w:unhideWhenUsed="0" w:uiPriority="99"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spacing w:line="560" w:lineRule="exact"/>
      <w:ind w:firstLine="200" w:firstLineChars="200"/>
      <w:contextualSpacing/>
      <w:outlineLvl w:val="0"/>
    </w:pPr>
    <w:rPr>
      <w:rFonts w:ascii="Cambria" w:hAnsi="Cambria" w:eastAsia="黑体"/>
      <w:b/>
      <w:bCs/>
      <w:sz w:val="32"/>
      <w:szCs w:val="28"/>
    </w:rPr>
  </w:style>
  <w:style w:type="paragraph" w:styleId="4">
    <w:name w:val="heading 2"/>
    <w:basedOn w:val="1"/>
    <w:next w:val="1"/>
    <w:qFormat/>
    <w:uiPriority w:val="0"/>
    <w:pPr>
      <w:spacing w:before="100" w:beforeAutospacing="1" w:after="100" w:afterAutospacing="1" w:line="560" w:lineRule="exact"/>
      <w:ind w:firstLine="200" w:firstLineChars="200"/>
      <w:jc w:val="left"/>
      <w:outlineLvl w:val="1"/>
    </w:pPr>
    <w:rPr>
      <w:rFonts w:hint="eastAsia" w:ascii="宋体" w:hAnsi="宋体" w:eastAsia="楷体_GB2312"/>
      <w:b/>
      <w:bCs/>
      <w:kern w:val="0"/>
      <w:sz w:val="32"/>
      <w:szCs w:val="36"/>
    </w:rPr>
  </w:style>
  <w:style w:type="paragraph" w:styleId="5">
    <w:name w:val="heading 3"/>
    <w:basedOn w:val="1"/>
    <w:next w:val="1"/>
    <w:link w:val="55"/>
    <w:unhideWhenUsed/>
    <w:qFormat/>
    <w:uiPriority w:val="9"/>
    <w:pPr>
      <w:keepNext/>
      <w:keepLines/>
      <w:spacing w:before="260" w:after="260" w:line="416" w:lineRule="auto"/>
      <w:outlineLvl w:val="2"/>
    </w:pPr>
    <w:rPr>
      <w:b/>
      <w:bCs/>
      <w:sz w:val="32"/>
      <w:szCs w:val="32"/>
    </w:rPr>
  </w:style>
  <w:style w:type="paragraph" w:styleId="6">
    <w:name w:val="heading 4"/>
    <w:basedOn w:val="1"/>
    <w:next w:val="1"/>
    <w:link w:val="56"/>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2">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customStyle="1" w:styleId="2">
    <w:name w:val="正文（文本）"/>
    <w:qFormat/>
    <w:uiPriority w:val="0"/>
    <w:pPr>
      <w:widowControl w:val="0"/>
      <w:snapToGrid w:val="0"/>
      <w:spacing w:beforeLines="20" w:line="360" w:lineRule="auto"/>
      <w:jc w:val="center"/>
    </w:pPr>
    <w:rPr>
      <w:rFonts w:ascii="Times New Roman" w:hAnsi="宋体" w:eastAsia="宋体" w:cs="Times New Roman"/>
      <w:kern w:val="2"/>
      <w:sz w:val="28"/>
      <w:szCs w:val="28"/>
      <w:lang w:val="en-US" w:eastAsia="zh-CN" w:bidi="ar-SA"/>
    </w:rPr>
  </w:style>
  <w:style w:type="paragraph" w:styleId="7">
    <w:name w:val="Document Map"/>
    <w:basedOn w:val="1"/>
    <w:link w:val="31"/>
    <w:semiHidden/>
    <w:unhideWhenUsed/>
    <w:qFormat/>
    <w:uiPriority w:val="99"/>
    <w:rPr>
      <w:rFonts w:ascii="宋体" w:eastAsia="宋体"/>
      <w:sz w:val="18"/>
      <w:szCs w:val="18"/>
    </w:rPr>
  </w:style>
  <w:style w:type="paragraph" w:styleId="8">
    <w:name w:val="annotation text"/>
    <w:basedOn w:val="1"/>
    <w:link w:val="59"/>
    <w:semiHidden/>
    <w:unhideWhenUsed/>
    <w:qFormat/>
    <w:uiPriority w:val="99"/>
    <w:pPr>
      <w:jc w:val="left"/>
    </w:pPr>
  </w:style>
  <w:style w:type="paragraph" w:styleId="9">
    <w:name w:val="Body Text"/>
    <w:basedOn w:val="1"/>
    <w:qFormat/>
    <w:uiPriority w:val="0"/>
    <w:pPr>
      <w:spacing w:after="120"/>
    </w:pPr>
    <w:rPr>
      <w:szCs w:val="24"/>
    </w:rPr>
  </w:style>
  <w:style w:type="paragraph" w:styleId="10">
    <w:name w:val="Body Text Indent"/>
    <w:basedOn w:val="1"/>
    <w:qFormat/>
    <w:uiPriority w:val="0"/>
    <w:pPr>
      <w:spacing w:after="120"/>
      <w:ind w:left="420" w:leftChars="200"/>
    </w:pPr>
  </w:style>
  <w:style w:type="paragraph" w:styleId="11">
    <w:name w:val="endnote text"/>
    <w:basedOn w:val="1"/>
    <w:link w:val="30"/>
    <w:semiHidden/>
    <w:unhideWhenUsed/>
    <w:qFormat/>
    <w:uiPriority w:val="99"/>
    <w:pPr>
      <w:snapToGrid w:val="0"/>
      <w:jc w:val="left"/>
    </w:pPr>
  </w:style>
  <w:style w:type="paragraph" w:styleId="12">
    <w:name w:val="Balloon Text"/>
    <w:basedOn w:val="1"/>
    <w:link w:val="29"/>
    <w:semiHidden/>
    <w:unhideWhenUsed/>
    <w:qFormat/>
    <w:uiPriority w:val="99"/>
    <w:rPr>
      <w:sz w:val="18"/>
      <w:szCs w:val="18"/>
    </w:rPr>
  </w:style>
  <w:style w:type="paragraph" w:styleId="13">
    <w:name w:val="footer"/>
    <w:basedOn w:val="1"/>
    <w:link w:val="27"/>
    <w:unhideWhenUsed/>
    <w:qFormat/>
    <w:uiPriority w:val="99"/>
    <w:pPr>
      <w:tabs>
        <w:tab w:val="center" w:pos="4153"/>
        <w:tab w:val="right" w:pos="8306"/>
      </w:tabs>
      <w:snapToGrid w:val="0"/>
      <w:jc w:val="left"/>
    </w:pPr>
    <w:rPr>
      <w:sz w:val="18"/>
      <w:szCs w:val="18"/>
    </w:rPr>
  </w:style>
  <w:style w:type="paragraph" w:styleId="14">
    <w:name w:val="header"/>
    <w:basedOn w:val="1"/>
    <w:link w:val="26"/>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semiHidden/>
    <w:unhideWhenUsed/>
    <w:qFormat/>
    <w:uiPriority w:val="39"/>
  </w:style>
  <w:style w:type="paragraph" w:styleId="16">
    <w:name w:val="footnote text"/>
    <w:basedOn w:val="1"/>
    <w:link w:val="28"/>
    <w:semiHidden/>
    <w:unhideWhenUsed/>
    <w:qFormat/>
    <w:uiPriority w:val="99"/>
    <w:pPr>
      <w:snapToGrid w:val="0"/>
      <w:spacing w:beforeLines="50" w:afterLines="50" w:line="360" w:lineRule="auto"/>
      <w:jc w:val="left"/>
    </w:pPr>
    <w:rPr>
      <w:rFonts w:ascii="Times New Roman" w:hAnsi="Times New Roman" w:eastAsia="仿宋_GB2312" w:cs="Times New Roman"/>
      <w:sz w:val="18"/>
      <w:szCs w:val="18"/>
    </w:rPr>
  </w:style>
  <w:style w:type="paragraph" w:styleId="17">
    <w:name w:val="toc 2"/>
    <w:basedOn w:val="1"/>
    <w:next w:val="1"/>
    <w:semiHidden/>
    <w:unhideWhenUsed/>
    <w:qFormat/>
    <w:uiPriority w:val="39"/>
    <w:pPr>
      <w:ind w:left="420" w:leftChars="200"/>
    </w:pPr>
  </w:style>
  <w:style w:type="paragraph" w:styleId="18">
    <w:name w:val="Body Text 2"/>
    <w:basedOn w:val="1"/>
    <w:next w:val="19"/>
    <w:qFormat/>
    <w:uiPriority w:val="99"/>
    <w:pPr>
      <w:spacing w:after="120" w:line="480" w:lineRule="auto"/>
      <w:ind w:firstLine="560" w:firstLineChars="200"/>
    </w:pPr>
    <w:rPr>
      <w:rFonts w:ascii="Arial" w:hAnsi="Arial" w:eastAsia="仿宋"/>
      <w:sz w:val="28"/>
    </w:rPr>
  </w:style>
  <w:style w:type="paragraph" w:styleId="19">
    <w:name w:val="Body Text First Indent 2"/>
    <w:basedOn w:val="10"/>
    <w:qFormat/>
    <w:uiPriority w:val="0"/>
    <w:pPr>
      <w:ind w:firstLine="420" w:firstLineChars="200"/>
    </w:pPr>
  </w:style>
  <w:style w:type="paragraph" w:styleId="20">
    <w:name w:val="annotation subject"/>
    <w:basedOn w:val="8"/>
    <w:next w:val="8"/>
    <w:link w:val="60"/>
    <w:semiHidden/>
    <w:unhideWhenUsed/>
    <w:qFormat/>
    <w:uiPriority w:val="99"/>
    <w:rPr>
      <w:b/>
      <w:bCs/>
    </w:rPr>
  </w:style>
  <w:style w:type="character" w:styleId="23">
    <w:name w:val="endnote reference"/>
    <w:basedOn w:val="22"/>
    <w:semiHidden/>
    <w:unhideWhenUsed/>
    <w:qFormat/>
    <w:uiPriority w:val="99"/>
    <w:rPr>
      <w:vertAlign w:val="superscript"/>
    </w:rPr>
  </w:style>
  <w:style w:type="character" w:styleId="24">
    <w:name w:val="annotation reference"/>
    <w:basedOn w:val="22"/>
    <w:semiHidden/>
    <w:unhideWhenUsed/>
    <w:qFormat/>
    <w:uiPriority w:val="99"/>
    <w:rPr>
      <w:sz w:val="21"/>
      <w:szCs w:val="21"/>
    </w:rPr>
  </w:style>
  <w:style w:type="character" w:styleId="25">
    <w:name w:val="footnote reference"/>
    <w:basedOn w:val="22"/>
    <w:semiHidden/>
    <w:unhideWhenUsed/>
    <w:qFormat/>
    <w:uiPriority w:val="99"/>
    <w:rPr>
      <w:vertAlign w:val="superscript"/>
    </w:rPr>
  </w:style>
  <w:style w:type="character" w:customStyle="1" w:styleId="26">
    <w:name w:val="页眉 字符"/>
    <w:basedOn w:val="22"/>
    <w:link w:val="14"/>
    <w:qFormat/>
    <w:uiPriority w:val="99"/>
    <w:rPr>
      <w:sz w:val="18"/>
      <w:szCs w:val="18"/>
    </w:rPr>
  </w:style>
  <w:style w:type="character" w:customStyle="1" w:styleId="27">
    <w:name w:val="页脚 字符"/>
    <w:basedOn w:val="22"/>
    <w:link w:val="13"/>
    <w:qFormat/>
    <w:uiPriority w:val="99"/>
    <w:rPr>
      <w:sz w:val="18"/>
      <w:szCs w:val="18"/>
    </w:rPr>
  </w:style>
  <w:style w:type="character" w:customStyle="1" w:styleId="28">
    <w:name w:val="脚注文本 字符"/>
    <w:basedOn w:val="22"/>
    <w:link w:val="16"/>
    <w:semiHidden/>
    <w:qFormat/>
    <w:uiPriority w:val="99"/>
    <w:rPr>
      <w:rFonts w:ascii="Times New Roman" w:hAnsi="Times New Roman" w:eastAsia="仿宋_GB2312" w:cs="Times New Roman"/>
      <w:sz w:val="18"/>
      <w:szCs w:val="18"/>
    </w:rPr>
  </w:style>
  <w:style w:type="character" w:customStyle="1" w:styleId="29">
    <w:name w:val="批注框文本 字符"/>
    <w:basedOn w:val="22"/>
    <w:link w:val="12"/>
    <w:semiHidden/>
    <w:qFormat/>
    <w:uiPriority w:val="99"/>
    <w:rPr>
      <w:sz w:val="18"/>
      <w:szCs w:val="18"/>
    </w:rPr>
  </w:style>
  <w:style w:type="character" w:customStyle="1" w:styleId="30">
    <w:name w:val="尾注文本 字符"/>
    <w:basedOn w:val="22"/>
    <w:link w:val="11"/>
    <w:semiHidden/>
    <w:qFormat/>
    <w:uiPriority w:val="99"/>
    <w:rPr>
      <w:kern w:val="2"/>
      <w:sz w:val="21"/>
      <w:szCs w:val="22"/>
    </w:rPr>
  </w:style>
  <w:style w:type="character" w:customStyle="1" w:styleId="31">
    <w:name w:val="文档结构图 字符"/>
    <w:basedOn w:val="22"/>
    <w:link w:val="7"/>
    <w:semiHidden/>
    <w:qFormat/>
    <w:uiPriority w:val="99"/>
    <w:rPr>
      <w:rFonts w:ascii="宋体" w:eastAsia="宋体"/>
      <w:kern w:val="2"/>
      <w:sz w:val="18"/>
      <w:szCs w:val="18"/>
    </w:rPr>
  </w:style>
  <w:style w:type="paragraph" w:customStyle="1" w:styleId="32">
    <w:name w:val="无间隔2"/>
    <w:qFormat/>
    <w:uiPriority w:val="0"/>
    <w:rPr>
      <w:rFonts w:ascii="Calibri" w:hAnsi="Calibri" w:eastAsia="宋体" w:cs="Calibri"/>
      <w:sz w:val="22"/>
      <w:szCs w:val="22"/>
      <w:lang w:val="en-US" w:eastAsia="zh-CN" w:bidi="ar-SA"/>
    </w:rPr>
  </w:style>
  <w:style w:type="paragraph" w:styleId="33">
    <w:name w:val="List Paragraph"/>
    <w:basedOn w:val="1"/>
    <w:qFormat/>
    <w:uiPriority w:val="34"/>
    <w:pPr>
      <w:widowControl/>
      <w:ind w:firstLine="420" w:firstLineChars="200"/>
      <w:jc w:val="left"/>
    </w:pPr>
    <w:rPr>
      <w:rFonts w:ascii="Calibri" w:hAnsi="Calibri" w:eastAsia="Calibri" w:cs="Calibri"/>
      <w:color w:val="000000"/>
      <w:szCs w:val="21"/>
      <w:u w:color="000000"/>
    </w:rPr>
  </w:style>
  <w:style w:type="paragraph" w:customStyle="1" w:styleId="34">
    <w:name w:val="浦东正文"/>
    <w:basedOn w:val="1"/>
    <w:qFormat/>
    <w:uiPriority w:val="0"/>
    <w:pPr>
      <w:spacing w:line="500" w:lineRule="exact"/>
      <w:ind w:firstLine="720" w:firstLineChars="200"/>
    </w:pPr>
    <w:rPr>
      <w:rFonts w:ascii="Times New Roman" w:hAnsi="Times New Roman" w:eastAsia="仿宋_GB2312"/>
      <w:sz w:val="32"/>
      <w:szCs w:val="32"/>
    </w:rPr>
  </w:style>
  <w:style w:type="character" w:customStyle="1" w:styleId="35">
    <w:name w:val="font21"/>
    <w:basedOn w:val="22"/>
    <w:qFormat/>
    <w:uiPriority w:val="0"/>
    <w:rPr>
      <w:rFonts w:ascii="仿宋_GB2312" w:eastAsia="仿宋_GB2312" w:cs="仿宋_GB2312"/>
      <w:color w:val="000000"/>
      <w:sz w:val="22"/>
      <w:szCs w:val="22"/>
      <w:u w:val="none"/>
    </w:rPr>
  </w:style>
  <w:style w:type="character" w:customStyle="1" w:styleId="36">
    <w:name w:val="font81"/>
    <w:basedOn w:val="22"/>
    <w:qFormat/>
    <w:uiPriority w:val="0"/>
    <w:rPr>
      <w:rFonts w:ascii="仿宋_GB2312" w:eastAsia="仿宋_GB2312" w:cs="仿宋_GB2312"/>
      <w:b/>
      <w:bCs/>
      <w:color w:val="000000"/>
      <w:sz w:val="18"/>
      <w:szCs w:val="18"/>
      <w:u w:val="none"/>
    </w:rPr>
  </w:style>
  <w:style w:type="character" w:customStyle="1" w:styleId="37">
    <w:name w:val="font41"/>
    <w:basedOn w:val="22"/>
    <w:qFormat/>
    <w:uiPriority w:val="0"/>
    <w:rPr>
      <w:rFonts w:hint="eastAsia" w:ascii="仿宋_GB2312" w:eastAsia="仿宋_GB2312" w:cs="仿宋_GB2312"/>
      <w:b/>
      <w:bCs/>
      <w:color w:val="000000"/>
      <w:sz w:val="18"/>
      <w:szCs w:val="18"/>
      <w:u w:val="none"/>
    </w:rPr>
  </w:style>
  <w:style w:type="character" w:customStyle="1" w:styleId="38">
    <w:name w:val="font01"/>
    <w:basedOn w:val="22"/>
    <w:qFormat/>
    <w:uiPriority w:val="0"/>
    <w:rPr>
      <w:rFonts w:hint="default" w:ascii="Times New Roman" w:hAnsi="Times New Roman" w:cs="Times New Roman"/>
      <w:b/>
      <w:bCs/>
      <w:color w:val="000000"/>
      <w:sz w:val="18"/>
      <w:szCs w:val="18"/>
      <w:u w:val="none"/>
    </w:rPr>
  </w:style>
  <w:style w:type="character" w:customStyle="1" w:styleId="39">
    <w:name w:val="font61"/>
    <w:basedOn w:val="22"/>
    <w:qFormat/>
    <w:uiPriority w:val="0"/>
    <w:rPr>
      <w:rFonts w:hint="eastAsia" w:ascii="仿宋_GB2312" w:eastAsia="仿宋_GB2312" w:cs="仿宋_GB2312"/>
      <w:color w:val="000000"/>
      <w:sz w:val="18"/>
      <w:szCs w:val="18"/>
      <w:u w:val="none"/>
    </w:rPr>
  </w:style>
  <w:style w:type="character" w:customStyle="1" w:styleId="40">
    <w:name w:val="font31"/>
    <w:basedOn w:val="22"/>
    <w:qFormat/>
    <w:uiPriority w:val="0"/>
    <w:rPr>
      <w:rFonts w:hint="eastAsia" w:ascii="仿宋_GB2312" w:eastAsia="仿宋_GB2312" w:cs="仿宋_GB2312"/>
      <w:color w:val="000000"/>
      <w:sz w:val="18"/>
      <w:szCs w:val="18"/>
      <w:u w:val="none"/>
    </w:rPr>
  </w:style>
  <w:style w:type="paragraph" w:customStyle="1" w:styleId="41">
    <w:name w:val="正文 A"/>
    <w:qFormat/>
    <w:uiPriority w:val="0"/>
    <w:pPr>
      <w:widowControl w:val="0"/>
      <w:spacing w:line="560" w:lineRule="exact"/>
      <w:ind w:firstLine="200" w:firstLineChars="200"/>
    </w:pPr>
    <w:rPr>
      <w:rFonts w:ascii="Times New Roman" w:hAnsi="Times New Roman" w:eastAsia="仿宋_GB2312" w:cs="Times New Roman"/>
      <w:color w:val="000000"/>
      <w:kern w:val="2"/>
      <w:sz w:val="28"/>
      <w:szCs w:val="28"/>
      <w:u w:color="000000"/>
      <w:lang w:val="en-US" w:eastAsia="zh-CN" w:bidi="ar-SA"/>
    </w:rPr>
  </w:style>
  <w:style w:type="character" w:customStyle="1" w:styleId="42">
    <w:name w:val="font11"/>
    <w:basedOn w:val="22"/>
    <w:qFormat/>
    <w:uiPriority w:val="0"/>
    <w:rPr>
      <w:rFonts w:ascii="仿宋_GB2312" w:eastAsia="仿宋_GB2312" w:cs="仿宋_GB2312"/>
      <w:color w:val="000000"/>
      <w:sz w:val="22"/>
      <w:szCs w:val="22"/>
      <w:u w:val="none"/>
    </w:rPr>
  </w:style>
  <w:style w:type="character" w:customStyle="1" w:styleId="43">
    <w:name w:val="font51"/>
    <w:basedOn w:val="22"/>
    <w:qFormat/>
    <w:uiPriority w:val="0"/>
    <w:rPr>
      <w:rFonts w:hint="eastAsia" w:ascii="仿宋_GB2312" w:eastAsia="仿宋_GB2312" w:cs="仿宋_GB2312"/>
      <w:color w:val="000000"/>
      <w:sz w:val="18"/>
      <w:szCs w:val="18"/>
      <w:u w:val="none"/>
    </w:rPr>
  </w:style>
  <w:style w:type="character" w:customStyle="1" w:styleId="44">
    <w:name w:val="font71"/>
    <w:basedOn w:val="22"/>
    <w:qFormat/>
    <w:uiPriority w:val="0"/>
    <w:rPr>
      <w:rFonts w:hint="default" w:ascii="Times New Roman" w:hAnsi="Times New Roman" w:cs="Times New Roman"/>
      <w:color w:val="000000"/>
      <w:sz w:val="18"/>
      <w:szCs w:val="18"/>
      <w:u w:val="none"/>
    </w:rPr>
  </w:style>
  <w:style w:type="character" w:customStyle="1" w:styleId="45">
    <w:name w:val="font112"/>
    <w:basedOn w:val="22"/>
    <w:qFormat/>
    <w:uiPriority w:val="0"/>
    <w:rPr>
      <w:rFonts w:hint="eastAsia" w:ascii="仿宋_GB2312" w:eastAsia="仿宋_GB2312" w:cs="仿宋_GB2312"/>
      <w:color w:val="000000"/>
      <w:sz w:val="18"/>
      <w:szCs w:val="18"/>
      <w:u w:val="none"/>
    </w:rPr>
  </w:style>
  <w:style w:type="character" w:customStyle="1" w:styleId="46">
    <w:name w:val="font121"/>
    <w:basedOn w:val="22"/>
    <w:qFormat/>
    <w:uiPriority w:val="0"/>
    <w:rPr>
      <w:rFonts w:hint="eastAsia" w:ascii="宋体" w:hAnsi="宋体" w:eastAsia="宋体" w:cs="宋体"/>
      <w:color w:val="000000"/>
      <w:sz w:val="18"/>
      <w:szCs w:val="18"/>
      <w:u w:val="none"/>
    </w:rPr>
  </w:style>
  <w:style w:type="character" w:customStyle="1" w:styleId="47">
    <w:name w:val="font131"/>
    <w:basedOn w:val="22"/>
    <w:qFormat/>
    <w:uiPriority w:val="0"/>
    <w:rPr>
      <w:rFonts w:hint="eastAsia" w:ascii="宋体" w:hAnsi="宋体" w:eastAsia="宋体" w:cs="宋体"/>
      <w:color w:val="000000"/>
      <w:sz w:val="18"/>
      <w:szCs w:val="18"/>
      <w:u w:val="none"/>
    </w:rPr>
  </w:style>
  <w:style w:type="character" w:customStyle="1" w:styleId="48">
    <w:name w:val="font91"/>
    <w:basedOn w:val="22"/>
    <w:qFormat/>
    <w:uiPriority w:val="0"/>
    <w:rPr>
      <w:rFonts w:hint="default" w:ascii="Times New Roman" w:hAnsi="Times New Roman" w:cs="Times New Roman"/>
      <w:color w:val="000000"/>
      <w:sz w:val="18"/>
      <w:szCs w:val="18"/>
      <w:u w:val="none"/>
    </w:rPr>
  </w:style>
  <w:style w:type="character" w:customStyle="1" w:styleId="49">
    <w:name w:val="font141"/>
    <w:basedOn w:val="22"/>
    <w:qFormat/>
    <w:uiPriority w:val="0"/>
    <w:rPr>
      <w:rFonts w:hint="eastAsia" w:ascii="宋体" w:hAnsi="宋体" w:eastAsia="宋体" w:cs="宋体"/>
      <w:color w:val="000000"/>
      <w:sz w:val="18"/>
      <w:szCs w:val="18"/>
      <w:u w:val="none"/>
    </w:rPr>
  </w:style>
  <w:style w:type="character" w:customStyle="1" w:styleId="50">
    <w:name w:val="font111"/>
    <w:basedOn w:val="22"/>
    <w:qFormat/>
    <w:uiPriority w:val="0"/>
    <w:rPr>
      <w:rFonts w:hint="eastAsia" w:ascii="仿宋_GB2312" w:eastAsia="仿宋_GB2312" w:cs="仿宋_GB2312"/>
      <w:b/>
      <w:bCs/>
      <w:color w:val="000000"/>
      <w:sz w:val="18"/>
      <w:szCs w:val="18"/>
      <w:u w:val="none"/>
    </w:rPr>
  </w:style>
  <w:style w:type="character" w:customStyle="1" w:styleId="51">
    <w:name w:val="font13"/>
    <w:basedOn w:val="22"/>
    <w:qFormat/>
    <w:uiPriority w:val="0"/>
    <w:rPr>
      <w:rFonts w:hint="default" w:ascii="Times New Roman" w:hAnsi="Times New Roman" w:cs="Times New Roman"/>
      <w:color w:val="000000"/>
      <w:sz w:val="18"/>
      <w:szCs w:val="18"/>
      <w:u w:val="none"/>
    </w:rPr>
  </w:style>
  <w:style w:type="character" w:customStyle="1" w:styleId="52">
    <w:name w:val="font132"/>
    <w:basedOn w:val="22"/>
    <w:qFormat/>
    <w:uiPriority w:val="0"/>
    <w:rPr>
      <w:rFonts w:ascii="宋体" w:hAnsi="宋体" w:eastAsia="宋体" w:cs="宋体"/>
      <w:color w:val="000000"/>
      <w:sz w:val="18"/>
      <w:szCs w:val="18"/>
      <w:u w:val="none"/>
    </w:rPr>
  </w:style>
  <w:style w:type="paragraph" w:customStyle="1" w:styleId="53">
    <w:name w:val="WPSOffice手动目录 1"/>
    <w:qFormat/>
    <w:uiPriority w:val="0"/>
    <w:rPr>
      <w:rFonts w:ascii="Times New Roman" w:hAnsi="Times New Roman" w:eastAsia="宋体" w:cs="Times New Roman"/>
      <w:lang w:val="en-US" w:eastAsia="zh-CN" w:bidi="ar-SA"/>
    </w:rPr>
  </w:style>
  <w:style w:type="paragraph" w:customStyle="1" w:styleId="54">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55">
    <w:name w:val="标题 3 字符"/>
    <w:basedOn w:val="22"/>
    <w:link w:val="5"/>
    <w:qFormat/>
    <w:uiPriority w:val="9"/>
    <w:rPr>
      <w:rFonts w:asciiTheme="minorHAnsi" w:hAnsiTheme="minorHAnsi" w:eastAsiaTheme="minorEastAsia" w:cstheme="minorBidi"/>
      <w:b/>
      <w:bCs/>
      <w:kern w:val="2"/>
      <w:sz w:val="32"/>
      <w:szCs w:val="32"/>
    </w:rPr>
  </w:style>
  <w:style w:type="character" w:customStyle="1" w:styleId="56">
    <w:name w:val="标题 4 字符"/>
    <w:basedOn w:val="22"/>
    <w:link w:val="6"/>
    <w:qFormat/>
    <w:uiPriority w:val="9"/>
    <w:rPr>
      <w:rFonts w:asciiTheme="majorHAnsi" w:hAnsiTheme="majorHAnsi" w:eastAsiaTheme="majorEastAsia" w:cstheme="majorBidi"/>
      <w:b/>
      <w:bCs/>
      <w:kern w:val="2"/>
      <w:sz w:val="28"/>
      <w:szCs w:val="28"/>
    </w:rPr>
  </w:style>
  <w:style w:type="paragraph" w:customStyle="1" w:styleId="57">
    <w:name w:val="BodyText"/>
    <w:basedOn w:val="1"/>
    <w:qFormat/>
    <w:uiPriority w:val="0"/>
    <w:pPr>
      <w:suppressAutoHyphens/>
      <w:spacing w:after="140" w:line="276" w:lineRule="auto"/>
      <w:textAlignment w:val="baseline"/>
    </w:pPr>
  </w:style>
  <w:style w:type="character" w:customStyle="1" w:styleId="58">
    <w:name w:val="font101"/>
    <w:basedOn w:val="22"/>
    <w:qFormat/>
    <w:uiPriority w:val="0"/>
    <w:rPr>
      <w:rFonts w:hint="eastAsia" w:ascii="仿宋_GB2312" w:eastAsia="仿宋_GB2312" w:cs="仿宋_GB2312"/>
      <w:color w:val="000000"/>
      <w:sz w:val="18"/>
      <w:szCs w:val="18"/>
      <w:u w:val="none"/>
    </w:rPr>
  </w:style>
  <w:style w:type="character" w:customStyle="1" w:styleId="59">
    <w:name w:val="批注文字 字符"/>
    <w:basedOn w:val="22"/>
    <w:link w:val="8"/>
    <w:semiHidden/>
    <w:qFormat/>
    <w:uiPriority w:val="99"/>
    <w:rPr>
      <w:rFonts w:asciiTheme="minorHAnsi" w:hAnsiTheme="minorHAnsi" w:eastAsiaTheme="minorEastAsia" w:cstheme="minorBidi"/>
      <w:kern w:val="2"/>
      <w:sz w:val="21"/>
      <w:szCs w:val="22"/>
    </w:rPr>
  </w:style>
  <w:style w:type="character" w:customStyle="1" w:styleId="60">
    <w:name w:val="批注主题 字符"/>
    <w:basedOn w:val="59"/>
    <w:link w:val="20"/>
    <w:semiHidden/>
    <w:qFormat/>
    <w:uiPriority w:val="99"/>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207</Pages>
  <Words>101975</Words>
  <Characters>110373</Characters>
  <Lines>843</Lines>
  <Paragraphs>237</Paragraphs>
  <TotalTime>0</TotalTime>
  <ScaleCrop>false</ScaleCrop>
  <LinksUpToDate>false</LinksUpToDate>
  <CharactersWithSpaces>111221</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2023-04-24T08:49:00Z</dcterms:created>
  <dc:creator>丁爱云</dc:creator>
  <cp:lastModifiedBy>Administrator</cp:lastModifiedBy>
  <cp:lastPrinted>2019-08-13T08:13:00Z</cp:lastPrinted>
  <dcterms:modified xsi:type="dcterms:W3CDTF">2024-01-08T08:10:31Z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3755DBF7961B4909A699FFE9FBE241CA</vt:lpwstr>
  </property>
</Properties>
</file>