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40" w:lineRule="exact"/>
        <w:jc w:val="center"/>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2022年青浦区再生资源（两网融合运维）</w:t>
      </w:r>
    </w:p>
    <w:p>
      <w:pPr>
        <w:keepNext w:val="0"/>
        <w:keepLines w:val="0"/>
        <w:pageBreakBefore w:val="0"/>
        <w:kinsoku/>
        <w:wordWrap/>
        <w:overflowPunct/>
        <w:topLinePunct w:val="0"/>
        <w:autoSpaceDE/>
        <w:autoSpaceDN/>
        <w:bidi w:val="0"/>
        <w:adjustRightInd/>
        <w:spacing w:line="540" w:lineRule="exact"/>
        <w:jc w:val="center"/>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项目支出</w:t>
      </w:r>
      <w:r>
        <w:rPr>
          <w:rFonts w:hint="eastAsia" w:ascii="方正小标宋简体" w:hAnsi="方正小标宋简体" w:eastAsia="方正小标宋简体" w:cs="方正小标宋简体"/>
          <w:b w:val="0"/>
          <w:bCs w:val="0"/>
          <w:sz w:val="44"/>
          <w:szCs w:val="44"/>
          <w:lang w:val="en-US" w:eastAsia="zh-CN"/>
        </w:rPr>
        <w:t>绩效评价结果信息</w:t>
      </w:r>
    </w:p>
    <w:p>
      <w:pPr>
        <w:keepNext w:val="0"/>
        <w:keepLines w:val="0"/>
        <w:pageBreakBefore w:val="0"/>
        <w:kinsoku/>
        <w:wordWrap/>
        <w:overflowPunct/>
        <w:topLinePunct w:val="0"/>
        <w:autoSpaceDE/>
        <w:autoSpaceDN/>
        <w:bidi w:val="0"/>
        <w:adjustRightInd/>
        <w:spacing w:line="540" w:lineRule="exact"/>
        <w:ind w:firstLine="640" w:firstLineChars="200"/>
        <w:rPr>
          <w:rFonts w:eastAsia="黑体" w:cs="Times New Roman"/>
          <w:sz w:val="32"/>
          <w:szCs w:val="32"/>
        </w:rPr>
      </w:pP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eastAsia="黑体" w:cs="Times New Roman"/>
          <w:sz w:val="32"/>
          <w:szCs w:val="32"/>
        </w:rPr>
        <w:t>一、项目概况</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为全面贯彻落实《上海市生活垃圾管理条例》，加快建成以法治为基础的上海垃圾分类管理体系，提高生活垃圾减量化、资源化、无害化水平，青浦区绿化和市容管理局（以下简称“区绿容局”）根据《上海市两网融合回收体系建设导则（试行）》（沪分减联办〔2018〕3号）、《关于印发〈上海市生活垃圾全程分类体系建设行动计划（2018-2020年）〉的通知》（沪分减联办〔2018〕5号</w:t>
      </w:r>
      <w:r>
        <w:rPr>
          <w:rFonts w:hint="eastAsia" w:cs="Times New Roman"/>
          <w:sz w:val="32"/>
          <w:szCs w:val="32"/>
        </w:rPr>
        <w:t>）（</w:t>
      </w:r>
      <w:r>
        <w:rPr>
          <w:rFonts w:cs="Times New Roman"/>
          <w:sz w:val="32"/>
          <w:szCs w:val="32"/>
        </w:rPr>
        <w:t>以下简称《行动计划》）等有关文件，于2018年至2020年设立青浦区垃圾分类“两网融合”体系建设项目。</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为推进生活垃圾分类清运体系和生活源再生资源回收体系的“两网融合”，积极响应《关于印发〈2020年上海市垃圾分类工作方案〉的通知》（沪分减联办〔2020〕5号</w:t>
      </w:r>
      <w:r>
        <w:rPr>
          <w:rFonts w:hint="eastAsia" w:cs="Times New Roman"/>
          <w:sz w:val="32"/>
          <w:szCs w:val="32"/>
        </w:rPr>
        <w:t>）（</w:t>
      </w:r>
      <w:r>
        <w:rPr>
          <w:rFonts w:cs="Times New Roman"/>
          <w:sz w:val="32"/>
          <w:szCs w:val="32"/>
        </w:rPr>
        <w:t>以下简称《工作方案》）中下达的指标，2020年9月，青浦区市容环境管理中心（以下简称“市容中心”）根据《关于印发〈上海市可回收物回收体系建设导则（2020版）〉的通知》（沪分减联办〔2020〕11号）（以下简称《建设导则》）等有关文件，申请设立2020年青浦区再生资源（两网融合运维）项目（以下简称“两网融合项目”）。据数据统计，2021年青浦区共回收可回收垃圾8.83万吨，较2020年增加1.31万吨，覆盖玻、金、塑、纸、衣等五大类别。</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2022年，市容中心继续实施两网融合项目，对青浦区域范围内开展垃圾分类与再生资源可回收工作，主要实施内容包括：6个中转站运营；1座两网融合集散场运营；937个可回收物点位投放收运工作；两网融合信息化平台运维；科普基地运营；开展各类再宣传、动员、培训、辅导等工作。项目的实施涉及2,155.11万元固定资产，包括智能交投机、塑料类打包机、纸板类打包机、泡沫冷压机、铲车、装载机、夹包机以及地磅等，全部交由服务单位进行运维，主管部门区绿容局负责监督指导其工作的开展。</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本项目资金来源区级财政及镇级财政一般公共预算，其中香花桥街道、盈浦街道及夏阳街道项目费用全部由区财政承担；朱家角镇、白鹤镇、金泽镇、练塘镇、华新镇和徐泾镇六个镇的项目费用由区级财政和镇级财政共同承担（区级财政30%，镇级财政70%）。三个街道所涉项目资金列入区绿容局部门预算，镇级资金由区财政先予垫支，年内通过财力结算方式进行扣除。</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本项目2022年初预算为4,741.06万元，</w:t>
      </w:r>
      <w:r>
        <w:rPr>
          <w:rFonts w:hint="eastAsia" w:cs="Times New Roman"/>
          <w:sz w:val="32"/>
          <w:szCs w:val="32"/>
        </w:rPr>
        <w:t>其中包括8个中转站运维费用，</w:t>
      </w:r>
      <w:r>
        <w:rPr>
          <w:rFonts w:cs="Times New Roman"/>
          <w:sz w:val="32"/>
          <w:szCs w:val="32"/>
        </w:rPr>
        <w:t>年中预算调整后金额为3,586.56万元</w:t>
      </w:r>
      <w:r>
        <w:rPr>
          <w:rFonts w:hint="eastAsia" w:cs="Times New Roman"/>
          <w:sz w:val="32"/>
          <w:szCs w:val="32"/>
        </w:rPr>
        <w:t>，调整原因主要为中转站实际运行6个，故中转站的租金、运维费用及相应的物流费用有所核减。</w:t>
      </w:r>
      <w:r>
        <w:rPr>
          <w:rFonts w:cs="Times New Roman"/>
          <w:sz w:val="32"/>
          <w:szCs w:val="32"/>
        </w:rPr>
        <w:t>截至2022年12月31日，实际支出金额为3,220.5</w:t>
      </w:r>
      <w:r>
        <w:rPr>
          <w:rFonts w:hint="eastAsia" w:cs="Times New Roman"/>
          <w:sz w:val="32"/>
          <w:szCs w:val="32"/>
          <w:lang w:val="en-US" w:eastAsia="zh-CN"/>
        </w:rPr>
        <w:t>6</w:t>
      </w:r>
      <w:r>
        <w:rPr>
          <w:rFonts w:cs="Times New Roman"/>
          <w:sz w:val="32"/>
          <w:szCs w:val="32"/>
        </w:rPr>
        <w:t>万元，预算执行率89.80%。</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eastAsia="黑体" w:cs="Times New Roman"/>
          <w:sz w:val="32"/>
          <w:szCs w:val="32"/>
        </w:rPr>
        <w:t>二、评价工作开展情况</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2023年2月，</w:t>
      </w:r>
      <w:bookmarkStart w:id="0" w:name="_GoBack"/>
      <w:r>
        <w:rPr>
          <w:rFonts w:eastAsia="仿宋" w:cs="Times New Roman"/>
          <w:b/>
          <w:bCs/>
          <w:sz w:val="32"/>
          <w:szCs w:val="32"/>
        </w:rPr>
        <w:t>上海华安会计师事务所有限公司</w:t>
      </w:r>
      <w:bookmarkEnd w:id="0"/>
      <w:r>
        <w:rPr>
          <w:rFonts w:cs="Times New Roman"/>
          <w:sz w:val="32"/>
          <w:szCs w:val="32"/>
        </w:rPr>
        <w:t>受上海市青浦区财政局的委托，依据《中共青浦区委 青浦区人民政府 关于我区全面实施预算绩效管理的实施意见》（青委〔2019〕245号）等文件要求对2022年青浦区两网融合项目实施财政支出绩效评价，重点关注：①项目立项时预算评审和项目结算之间的差异，以及差异变更的合理性和流程规范性；②预算单位与主管部门在项目日常运维和管理监督过程中的运行模式是否合理规范；③服务单位在项目实施方面是否符合合同要求及考核管理等相关约定；④服务单位内部管理是否规范；⑤项目执行是否达到年初预期目标值等。</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评价组通过研读相关政策文件，对市容中心、绿容局和第三方服务单位进行访谈，深入了解该项目的实施背景、预算编制及执行、实施管理、项目效益、长效机制及现状等方面，初步拟定了工作方案。评价组将形成的评价工作方案与预算单位、委托方进行沟通，就方案阶段已发现的问题向委托方汇报，并与其讨论对应所涉问题提出整改建议的合理性及可操作性，再通过专家评审会进行评审和会后修改，根据经专家组评议通过并修改完善的评价工作方案包括指标体系及评分标准，结合数据采集、资料核查、资金合规性、问卷调查、访谈等方式，最终形成本次项目绩效评价报告。</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eastAsia="黑体" w:cs="Times New Roman"/>
          <w:sz w:val="32"/>
          <w:szCs w:val="32"/>
        </w:rPr>
        <w:t>三、评价结论和主要绩效</w:t>
      </w:r>
    </w:p>
    <w:p>
      <w:pPr>
        <w:keepNext w:val="0"/>
        <w:keepLines w:val="0"/>
        <w:pageBreakBefore w:val="0"/>
        <w:kinsoku/>
        <w:wordWrap/>
        <w:overflowPunct/>
        <w:topLinePunct w:val="0"/>
        <w:autoSpaceDE/>
        <w:autoSpaceDN/>
        <w:bidi w:val="0"/>
        <w:adjustRightInd/>
        <w:spacing w:line="540" w:lineRule="exact"/>
        <w:ind w:firstLine="640" w:firstLineChars="200"/>
        <w:rPr>
          <w:rFonts w:eastAsia="楷体" w:cs="Times New Roman"/>
          <w:sz w:val="32"/>
          <w:szCs w:val="32"/>
        </w:rPr>
      </w:pPr>
      <w:r>
        <w:rPr>
          <w:rFonts w:eastAsia="楷体" w:cs="Times New Roman"/>
          <w:sz w:val="32"/>
          <w:szCs w:val="32"/>
        </w:rPr>
        <w:t>（一）评价结果</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经综合评价，两网融合项目评分为</w:t>
      </w:r>
      <w:r>
        <w:rPr>
          <w:rFonts w:hint="eastAsia" w:cs="Times New Roman"/>
          <w:sz w:val="32"/>
          <w:szCs w:val="32"/>
          <w:lang w:eastAsia="zh-CN"/>
        </w:rPr>
        <w:t>82.19</w:t>
      </w:r>
      <w:r>
        <w:rPr>
          <w:rFonts w:cs="Times New Roman"/>
          <w:sz w:val="32"/>
          <w:szCs w:val="32"/>
        </w:rPr>
        <w:t>分，评价结果为</w:t>
      </w:r>
      <w:r>
        <w:rPr>
          <w:rFonts w:hint="eastAsia" w:cs="Times New Roman"/>
          <w:sz w:val="32"/>
          <w:szCs w:val="32"/>
        </w:rPr>
        <w:t>“</w:t>
      </w:r>
      <w:r>
        <w:rPr>
          <w:rFonts w:cs="Times New Roman"/>
          <w:sz w:val="32"/>
          <w:szCs w:val="32"/>
        </w:rPr>
        <w:t>良</w:t>
      </w:r>
      <w:r>
        <w:rPr>
          <w:rFonts w:hint="eastAsia" w:cs="Times New Roman"/>
          <w:sz w:val="32"/>
          <w:szCs w:val="32"/>
        </w:rPr>
        <w:t>”</w:t>
      </w:r>
      <w:r>
        <w:rPr>
          <w:rFonts w:cs="Times New Roman"/>
          <w:sz w:val="32"/>
          <w:szCs w:val="32"/>
        </w:rPr>
        <w:t>。其中：决策满分20分，得分14.67分，得分率73.35%；过程满分20分，得分19.2分，得分率为96.00%；产出满分30分，得分</w:t>
      </w:r>
      <w:r>
        <w:rPr>
          <w:rFonts w:hint="eastAsia" w:cs="Times New Roman"/>
          <w:sz w:val="32"/>
          <w:szCs w:val="32"/>
          <w:lang w:val="en-US" w:eastAsia="zh-CN"/>
        </w:rPr>
        <w:t>18</w:t>
      </w:r>
      <w:r>
        <w:rPr>
          <w:rFonts w:cs="Times New Roman"/>
          <w:sz w:val="32"/>
          <w:szCs w:val="32"/>
        </w:rPr>
        <w:t>.99分，得分率为6</w:t>
      </w:r>
      <w:r>
        <w:rPr>
          <w:rFonts w:hint="eastAsia" w:cs="Times New Roman"/>
          <w:sz w:val="32"/>
          <w:szCs w:val="32"/>
          <w:lang w:val="en-US" w:eastAsia="zh-CN"/>
        </w:rPr>
        <w:t>3</w:t>
      </w:r>
      <w:r>
        <w:rPr>
          <w:rFonts w:cs="Times New Roman"/>
          <w:sz w:val="32"/>
          <w:szCs w:val="32"/>
        </w:rPr>
        <w:t>.</w:t>
      </w:r>
      <w:r>
        <w:rPr>
          <w:rFonts w:hint="eastAsia" w:cs="Times New Roman"/>
          <w:sz w:val="32"/>
          <w:szCs w:val="32"/>
          <w:lang w:val="en-US" w:eastAsia="zh-CN"/>
        </w:rPr>
        <w:t>00</w:t>
      </w:r>
      <w:r>
        <w:rPr>
          <w:rFonts w:cs="Times New Roman"/>
          <w:sz w:val="32"/>
          <w:szCs w:val="32"/>
        </w:rPr>
        <w:t>%；效益满分30分，得分29.33，得分率为97.77%。评价指标评分表如下表1：</w:t>
      </w:r>
    </w:p>
    <w:p>
      <w:pPr>
        <w:keepNext w:val="0"/>
        <w:keepLines w:val="0"/>
        <w:pageBreakBefore w:val="0"/>
        <w:kinsoku/>
        <w:wordWrap/>
        <w:overflowPunct/>
        <w:topLinePunct w:val="0"/>
        <w:autoSpaceDE/>
        <w:autoSpaceDN/>
        <w:bidi w:val="0"/>
        <w:adjustRightInd/>
        <w:snapToGrid w:val="0"/>
        <w:spacing w:line="540" w:lineRule="exact"/>
        <w:ind w:firstLine="643" w:firstLineChars="200"/>
        <w:jc w:val="center"/>
        <w:rPr>
          <w:rFonts w:cs="Times New Roman"/>
          <w:sz w:val="32"/>
          <w:szCs w:val="32"/>
        </w:rPr>
      </w:pPr>
      <w:r>
        <w:rPr>
          <w:rFonts w:cs="Times New Roman"/>
          <w:b/>
          <w:bCs/>
          <w:sz w:val="32"/>
          <w:szCs w:val="32"/>
        </w:rPr>
        <w:t>表</w:t>
      </w:r>
      <w:r>
        <w:rPr>
          <w:rFonts w:hint="eastAsia" w:cs="Times New Roman"/>
          <w:b/>
          <w:bCs/>
          <w:sz w:val="32"/>
          <w:szCs w:val="32"/>
        </w:rPr>
        <w:t>1</w:t>
      </w:r>
      <w:r>
        <w:rPr>
          <w:rFonts w:cs="Times New Roman"/>
          <w:b/>
          <w:bCs/>
          <w:sz w:val="32"/>
          <w:szCs w:val="32"/>
        </w:rPr>
        <w:t xml:space="preserve"> 评价指标评分表</w:t>
      </w:r>
    </w:p>
    <w:tbl>
      <w:tblPr>
        <w:tblStyle w:val="18"/>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1521"/>
        <w:gridCol w:w="1521"/>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441"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指标名称</w:t>
            </w:r>
          </w:p>
        </w:tc>
        <w:tc>
          <w:tcPr>
            <w:tcW w:w="1431"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rPr>
                <w:rFonts w:cs="Times New Roman"/>
                <w:b/>
                <w:bCs/>
                <w:color w:val="000000"/>
                <w:kern w:val="0"/>
                <w:sz w:val="32"/>
                <w:szCs w:val="32"/>
                <w:lang w:bidi="ar"/>
              </w:rPr>
            </w:pPr>
            <w:r>
              <w:rPr>
                <w:rFonts w:cs="Times New Roman"/>
                <w:b/>
                <w:bCs/>
                <w:color w:val="000000"/>
                <w:kern w:val="0"/>
                <w:sz w:val="32"/>
                <w:szCs w:val="32"/>
                <w:lang w:bidi="ar"/>
              </w:rPr>
              <w:t>得分</w:t>
            </w:r>
          </w:p>
        </w:tc>
        <w:tc>
          <w:tcPr>
            <w:tcW w:w="1432"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一级指标</w:t>
            </w: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二级指标</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权重</w:t>
            </w:r>
          </w:p>
        </w:tc>
        <w:tc>
          <w:tcPr>
            <w:tcW w:w="1431"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rPr>
                <w:rFonts w:cs="Times New Roman"/>
                <w:b/>
                <w:bCs/>
                <w:color w:val="000000"/>
                <w:sz w:val="32"/>
                <w:szCs w:val="32"/>
              </w:rPr>
            </w:pPr>
          </w:p>
        </w:tc>
        <w:tc>
          <w:tcPr>
            <w:tcW w:w="1432"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rPr>
                <w:rFonts w:cs="Times New Roman"/>
                <w:b/>
                <w:bCs/>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A决策</w:t>
            </w:r>
          </w:p>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20%</w:t>
            </w: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A1项目立项</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8</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8</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A2绩效目标</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8</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4.67</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58.38%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A3资金投入</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4</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2</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B过程</w:t>
            </w:r>
          </w:p>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20%</w:t>
            </w: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B1资金管理</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9.2</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92.00%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B2组织实施</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C产出</w:t>
            </w:r>
          </w:p>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30%</w:t>
            </w: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C1产出数量</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9</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3.92</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43.56%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C2产出质量</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12</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8.07</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67.25%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C3产出时效</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5</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5</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C4产出成本</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4</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hint="eastAsia" w:eastAsia="仿宋_GB2312" w:cs="Times New Roman"/>
                <w:color w:val="000000"/>
                <w:kern w:val="0"/>
                <w:sz w:val="32"/>
                <w:szCs w:val="32"/>
                <w:lang w:eastAsia="zh-CN" w:bidi="ar"/>
              </w:rPr>
            </w:pPr>
            <w:r>
              <w:rPr>
                <w:rFonts w:hint="eastAsia" w:cs="Times New Roman"/>
                <w:color w:val="000000"/>
                <w:kern w:val="0"/>
                <w:sz w:val="32"/>
                <w:szCs w:val="32"/>
                <w:lang w:val="en-US" w:eastAsia="zh-CN" w:bidi="ar"/>
              </w:rPr>
              <w:t>2</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hint="eastAsia" w:cs="Times New Roman"/>
                <w:color w:val="000000"/>
                <w:kern w:val="0"/>
                <w:sz w:val="32"/>
                <w:szCs w:val="32"/>
                <w:lang w:val="en-US" w:eastAsia="zh-CN" w:bidi="ar"/>
              </w:rPr>
              <w:t>5</w:t>
            </w:r>
            <w:r>
              <w:rPr>
                <w:rFonts w:cs="Times New Roman"/>
                <w:color w:val="000000"/>
                <w:kern w:val="0"/>
                <w:sz w:val="32"/>
                <w:szCs w:val="32"/>
                <w:lang w:bidi="ar"/>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D效益</w:t>
            </w:r>
          </w:p>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30%</w:t>
            </w: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D1项目效益</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hint="eastAsia" w:eastAsia="仿宋_GB2312" w:cs="Times New Roman"/>
                <w:color w:val="000000"/>
                <w:kern w:val="0"/>
                <w:sz w:val="32"/>
                <w:szCs w:val="32"/>
                <w:lang w:eastAsia="zh-CN" w:bidi="ar"/>
              </w:rPr>
            </w:pPr>
            <w:r>
              <w:rPr>
                <w:rFonts w:cs="Times New Roman"/>
                <w:color w:val="000000"/>
                <w:kern w:val="0"/>
                <w:sz w:val="32"/>
                <w:szCs w:val="32"/>
                <w:lang w:bidi="ar"/>
              </w:rPr>
              <w:t>1</w:t>
            </w:r>
            <w:r>
              <w:rPr>
                <w:rFonts w:hint="eastAsia" w:cs="Times New Roman"/>
                <w:color w:val="000000"/>
                <w:kern w:val="0"/>
                <w:sz w:val="32"/>
                <w:szCs w:val="32"/>
                <w:lang w:val="en-US" w:eastAsia="zh-CN" w:bidi="ar"/>
              </w:rPr>
              <w:t>4</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w:t>
            </w:r>
            <w:r>
              <w:rPr>
                <w:rFonts w:hint="eastAsia" w:cs="Times New Roman"/>
                <w:color w:val="000000"/>
                <w:kern w:val="0"/>
                <w:sz w:val="32"/>
                <w:szCs w:val="32"/>
                <w:lang w:val="en-US" w:eastAsia="zh-CN" w:bidi="ar"/>
              </w:rPr>
              <w:t>3</w:t>
            </w:r>
            <w:r>
              <w:rPr>
                <w:rFonts w:cs="Times New Roman"/>
                <w:color w:val="000000"/>
                <w:kern w:val="0"/>
                <w:sz w:val="32"/>
                <w:szCs w:val="32"/>
                <w:lang w:bidi="ar"/>
              </w:rPr>
              <w:t>.33</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9</w:t>
            </w:r>
            <w:r>
              <w:rPr>
                <w:rFonts w:hint="eastAsia" w:cs="Times New Roman"/>
                <w:color w:val="000000"/>
                <w:kern w:val="0"/>
                <w:sz w:val="32"/>
                <w:szCs w:val="32"/>
                <w:lang w:val="en-US" w:eastAsia="zh-CN" w:bidi="ar"/>
              </w:rPr>
              <w:t>5</w:t>
            </w:r>
            <w:r>
              <w:rPr>
                <w:rFonts w:cs="Times New Roman"/>
                <w:color w:val="000000"/>
                <w:kern w:val="0"/>
                <w:sz w:val="32"/>
                <w:szCs w:val="32"/>
                <w:lang w:bidi="ar"/>
              </w:rPr>
              <w:t>.</w:t>
            </w:r>
            <w:r>
              <w:rPr>
                <w:rFonts w:hint="eastAsia" w:cs="Times New Roman"/>
                <w:color w:val="000000"/>
                <w:kern w:val="0"/>
                <w:sz w:val="32"/>
                <w:szCs w:val="32"/>
                <w:lang w:val="en-US" w:eastAsia="zh-CN" w:bidi="ar"/>
              </w:rPr>
              <w:t>21</w:t>
            </w:r>
            <w:r>
              <w:rPr>
                <w:rFonts w:cs="Times New Roman"/>
                <w:color w:val="000000"/>
                <w:kern w:val="0"/>
                <w:sz w:val="32"/>
                <w:szCs w:val="32"/>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05"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p>
        </w:tc>
        <w:tc>
          <w:tcPr>
            <w:tcW w:w="2005"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D2满意度</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hint="eastAsia" w:eastAsia="仿宋_GB2312" w:cs="Times New Roman"/>
                <w:color w:val="000000"/>
                <w:kern w:val="0"/>
                <w:sz w:val="32"/>
                <w:szCs w:val="32"/>
                <w:lang w:eastAsia="zh-CN" w:bidi="ar"/>
              </w:rPr>
            </w:pPr>
            <w:r>
              <w:rPr>
                <w:rFonts w:cs="Times New Roman"/>
                <w:color w:val="000000"/>
                <w:kern w:val="0"/>
                <w:sz w:val="32"/>
                <w:szCs w:val="32"/>
                <w:lang w:bidi="ar"/>
              </w:rPr>
              <w:t>1</w:t>
            </w:r>
            <w:r>
              <w:rPr>
                <w:rFonts w:hint="eastAsia" w:cs="Times New Roman"/>
                <w:color w:val="000000"/>
                <w:kern w:val="0"/>
                <w:sz w:val="32"/>
                <w:szCs w:val="32"/>
                <w:lang w:val="en-US" w:eastAsia="zh-CN" w:bidi="ar"/>
              </w:rPr>
              <w:t>6</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hint="eastAsia" w:eastAsia="仿宋_GB2312" w:cs="Times New Roman"/>
                <w:color w:val="000000"/>
                <w:kern w:val="0"/>
                <w:sz w:val="32"/>
                <w:szCs w:val="32"/>
                <w:lang w:eastAsia="zh-CN" w:bidi="ar"/>
              </w:rPr>
            </w:pPr>
            <w:r>
              <w:rPr>
                <w:rFonts w:cs="Times New Roman"/>
                <w:color w:val="000000"/>
                <w:kern w:val="0"/>
                <w:sz w:val="32"/>
                <w:szCs w:val="32"/>
                <w:lang w:bidi="ar"/>
              </w:rPr>
              <w:t>1</w:t>
            </w:r>
            <w:r>
              <w:rPr>
                <w:rFonts w:hint="eastAsia" w:cs="Times New Roman"/>
                <w:color w:val="000000"/>
                <w:kern w:val="0"/>
                <w:sz w:val="32"/>
                <w:szCs w:val="32"/>
                <w:lang w:val="en-US" w:eastAsia="zh-CN" w:bidi="ar"/>
              </w:rPr>
              <w:t>6</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color w:val="000000"/>
                <w:kern w:val="0"/>
                <w:sz w:val="32"/>
                <w:szCs w:val="32"/>
                <w:lang w:bidi="ar"/>
              </w:rPr>
            </w:pPr>
            <w:r>
              <w:rPr>
                <w:rFonts w:cs="Times New Roman"/>
                <w:color w:val="000000"/>
                <w:kern w:val="0"/>
                <w:sz w:val="32"/>
                <w:szCs w:val="32"/>
                <w:lang w:bidi="ar"/>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10"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合计</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bCs/>
                <w:color w:val="000000"/>
                <w:kern w:val="0"/>
                <w:sz w:val="32"/>
                <w:szCs w:val="32"/>
                <w:lang w:bidi="ar"/>
              </w:rPr>
              <w:t>100</w:t>
            </w:r>
          </w:p>
        </w:tc>
        <w:tc>
          <w:tcPr>
            <w:tcW w:w="1431"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hint="eastAsia" w:eastAsia="仿宋_GB2312" w:cs="Times New Roman"/>
                <w:b/>
                <w:bCs/>
                <w:color w:val="000000"/>
                <w:kern w:val="0"/>
                <w:sz w:val="32"/>
                <w:szCs w:val="32"/>
                <w:lang w:eastAsia="zh-CN" w:bidi="ar"/>
              </w:rPr>
            </w:pPr>
            <w:r>
              <w:rPr>
                <w:rFonts w:hint="eastAsia" w:cs="Times New Roman"/>
                <w:b/>
                <w:bCs/>
                <w:color w:val="000000"/>
                <w:kern w:val="0"/>
                <w:sz w:val="32"/>
                <w:szCs w:val="32"/>
                <w:lang w:eastAsia="zh-CN" w:bidi="ar"/>
              </w:rPr>
              <w:t>82.19</w:t>
            </w:r>
          </w:p>
        </w:tc>
        <w:tc>
          <w:tcPr>
            <w:tcW w:w="1432" w:type="dxa"/>
            <w:shd w:val="clear" w:color="auto" w:fill="auto"/>
            <w:vAlign w:val="center"/>
          </w:tcPr>
          <w:p>
            <w:pPr>
              <w:keepNext w:val="0"/>
              <w:keepLines w:val="0"/>
              <w:pageBreakBefore w:val="0"/>
              <w:widowControl/>
              <w:kinsoku/>
              <w:wordWrap/>
              <w:overflowPunct/>
              <w:topLinePunct w:val="0"/>
              <w:autoSpaceDE/>
              <w:autoSpaceDN/>
              <w:bidi w:val="0"/>
              <w:adjustRightInd/>
              <w:snapToGrid w:val="0"/>
              <w:spacing w:line="540" w:lineRule="exact"/>
              <w:jc w:val="center"/>
              <w:textAlignment w:val="center"/>
              <w:rPr>
                <w:rFonts w:cs="Times New Roman"/>
                <w:b/>
                <w:bCs/>
                <w:color w:val="000000"/>
                <w:kern w:val="0"/>
                <w:sz w:val="32"/>
                <w:szCs w:val="32"/>
                <w:lang w:bidi="ar"/>
              </w:rPr>
            </w:pPr>
            <w:r>
              <w:rPr>
                <w:rFonts w:cs="Times New Roman"/>
                <w:b w:val="0"/>
                <w:bCs w:val="0"/>
                <w:color w:val="000000"/>
                <w:kern w:val="0"/>
                <w:sz w:val="32"/>
                <w:szCs w:val="32"/>
                <w:lang w:bidi="ar"/>
              </w:rPr>
              <w:t>-</w:t>
            </w:r>
          </w:p>
        </w:tc>
      </w:tr>
    </w:tbl>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eastAsia="楷体" w:cs="Times New Roman"/>
          <w:sz w:val="32"/>
          <w:szCs w:val="32"/>
        </w:rPr>
        <w:t>（二）主要绩效</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hint="eastAsia" w:cs="Times New Roman"/>
          <w:sz w:val="32"/>
          <w:szCs w:val="32"/>
        </w:rPr>
        <w:t>决策：本项目的实施</w:t>
      </w:r>
      <w:r>
        <w:rPr>
          <w:rFonts w:cs="Times New Roman"/>
          <w:sz w:val="32"/>
          <w:szCs w:val="32"/>
        </w:rPr>
        <w:t>有效改善了居民生活环境，有效减少了干垃圾的焚烧量</w:t>
      </w:r>
      <w:r>
        <w:rPr>
          <w:rFonts w:hint="eastAsia" w:cs="Times New Roman"/>
          <w:sz w:val="32"/>
          <w:szCs w:val="32"/>
        </w:rPr>
        <w:t>。项目立项依据充分、程序规范，申请等资料齐全，但绩效目标及指标设置合理性和明确性有待进一步加强。</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hint="eastAsia" w:cs="Times New Roman"/>
          <w:sz w:val="32"/>
          <w:szCs w:val="32"/>
        </w:rPr>
        <w:t>过程：</w:t>
      </w:r>
      <w:r>
        <w:rPr>
          <w:rFonts w:cs="Times New Roman"/>
          <w:sz w:val="32"/>
          <w:szCs w:val="32"/>
        </w:rPr>
        <w:t>预算单位贯彻执行《政府会计准则制度》，会计核算准确，财务管理、资金使用、政府采购、合同管理合规，监督工作到位，相关考核管理制度执行有效。但预算执行率方面未达目标值，镇级单位在过程管理中职能较弱，事权不匹配。</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hint="eastAsia" w:cs="Times New Roman"/>
          <w:sz w:val="32"/>
          <w:szCs w:val="32"/>
        </w:rPr>
        <w:t>产出：</w:t>
      </w:r>
      <w:r>
        <w:rPr>
          <w:rFonts w:cs="Times New Roman"/>
          <w:sz w:val="32"/>
          <w:szCs w:val="32"/>
        </w:rPr>
        <w:t>项目按计划进行两网融合体系的日常运维与管理，且符合合同约定要求，按照约定内容完成针对2022年的937个回收点位、6个中转站以及1座集散场的运维管理。预算单位按计划完成市局、区局文件下达的</w:t>
      </w:r>
      <w:r>
        <w:rPr>
          <w:rFonts w:hint="eastAsia" w:cs="Times New Roman"/>
          <w:sz w:val="32"/>
          <w:szCs w:val="32"/>
        </w:rPr>
        <w:t>“</w:t>
      </w:r>
      <w:r>
        <w:rPr>
          <w:rFonts w:cs="Times New Roman"/>
          <w:sz w:val="32"/>
          <w:szCs w:val="32"/>
        </w:rPr>
        <w:t>可回收物分类量≥187吨/日、垃圾资源回收利用率≥42%、生活垃圾分类实效量≥95%</w:t>
      </w:r>
      <w:r>
        <w:rPr>
          <w:rFonts w:hint="eastAsia" w:cs="Times New Roman"/>
          <w:sz w:val="32"/>
          <w:szCs w:val="32"/>
        </w:rPr>
        <w:t>”</w:t>
      </w:r>
      <w:r>
        <w:rPr>
          <w:rFonts w:cs="Times New Roman"/>
          <w:sz w:val="32"/>
          <w:szCs w:val="32"/>
        </w:rPr>
        <w:t>等目标</w:t>
      </w:r>
      <w:r>
        <w:rPr>
          <w:rFonts w:hint="eastAsia" w:cs="Times New Roman"/>
          <w:sz w:val="32"/>
          <w:szCs w:val="32"/>
        </w:rPr>
        <w:t>。</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hint="eastAsia" w:cs="Times New Roman"/>
          <w:sz w:val="32"/>
          <w:szCs w:val="32"/>
        </w:rPr>
        <w:t>效益：</w:t>
      </w:r>
      <w:r>
        <w:rPr>
          <w:rFonts w:cs="Times New Roman"/>
          <w:sz w:val="32"/>
          <w:szCs w:val="32"/>
        </w:rPr>
        <w:t>项目实施实现居住区、单位、公共场所生活垃圾分类全覆盖，提升可回收垃圾分类实效量，实现居住区可回收物的便捷交投和资源的集散利用，推动青浦区绿色生活方式，项目存续性较强。</w:t>
      </w:r>
    </w:p>
    <w:p>
      <w:pPr>
        <w:keepNext w:val="0"/>
        <w:keepLines w:val="0"/>
        <w:pageBreakBefore w:val="0"/>
        <w:kinsoku/>
        <w:wordWrap/>
        <w:overflowPunct/>
        <w:topLinePunct w:val="0"/>
        <w:autoSpaceDE/>
        <w:autoSpaceDN/>
        <w:bidi w:val="0"/>
        <w:adjustRightInd/>
        <w:spacing w:line="540" w:lineRule="exact"/>
        <w:ind w:firstLine="640" w:firstLineChars="200"/>
        <w:rPr>
          <w:rFonts w:eastAsia="黑体" w:cs="Times New Roman"/>
          <w:sz w:val="32"/>
          <w:szCs w:val="32"/>
        </w:rPr>
      </w:pPr>
      <w:r>
        <w:rPr>
          <w:rFonts w:eastAsia="黑体" w:cs="Times New Roman"/>
          <w:sz w:val="32"/>
          <w:szCs w:val="32"/>
        </w:rPr>
        <w:t>四、主要经验、问题和建议</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b/>
          <w:bCs/>
          <w:sz w:val="32"/>
          <w:szCs w:val="32"/>
        </w:rPr>
      </w:pPr>
      <w:r>
        <w:rPr>
          <w:rFonts w:eastAsia="楷体" w:cs="Times New Roman"/>
          <w:sz w:val="32"/>
          <w:szCs w:val="32"/>
        </w:rPr>
        <w:t>（一）主要经验及做法</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sz w:val="32"/>
          <w:szCs w:val="32"/>
        </w:rPr>
      </w:pPr>
      <w:r>
        <w:rPr>
          <w:rFonts w:cs="Times New Roman"/>
          <w:b/>
          <w:bCs/>
          <w:sz w:val="32"/>
          <w:szCs w:val="32"/>
        </w:rPr>
        <w:t>1.深化两网融合体系，达成生活垃圾回收利用率目标</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预算单位深化</w:t>
      </w:r>
      <w:r>
        <w:rPr>
          <w:rFonts w:hint="eastAsia" w:cs="Times New Roman"/>
          <w:sz w:val="32"/>
          <w:szCs w:val="32"/>
        </w:rPr>
        <w:t>“</w:t>
      </w:r>
      <w:r>
        <w:rPr>
          <w:rFonts w:cs="Times New Roman"/>
          <w:sz w:val="32"/>
          <w:szCs w:val="32"/>
        </w:rPr>
        <w:t>两网融合</w:t>
      </w:r>
      <w:r>
        <w:rPr>
          <w:rFonts w:hint="eastAsia" w:cs="Times New Roman"/>
          <w:sz w:val="32"/>
          <w:szCs w:val="32"/>
        </w:rPr>
        <w:t>”</w:t>
      </w:r>
      <w:r>
        <w:rPr>
          <w:rFonts w:cs="Times New Roman"/>
          <w:sz w:val="32"/>
          <w:szCs w:val="32"/>
        </w:rPr>
        <w:t>体系建设，着力维护可回收物“点、站、场”布局，促进源头</w:t>
      </w:r>
      <w:r>
        <w:rPr>
          <w:rFonts w:hint="eastAsia" w:cs="Times New Roman"/>
          <w:sz w:val="32"/>
          <w:szCs w:val="32"/>
        </w:rPr>
        <w:t>“</w:t>
      </w:r>
      <w:r>
        <w:rPr>
          <w:rFonts w:cs="Times New Roman"/>
          <w:sz w:val="32"/>
          <w:szCs w:val="32"/>
        </w:rPr>
        <w:t>应收尽收</w:t>
      </w:r>
      <w:r>
        <w:rPr>
          <w:rFonts w:hint="eastAsia" w:cs="Times New Roman"/>
          <w:sz w:val="32"/>
          <w:szCs w:val="32"/>
        </w:rPr>
        <w:t>”</w:t>
      </w:r>
      <w:r>
        <w:rPr>
          <w:rFonts w:cs="Times New Roman"/>
          <w:sz w:val="32"/>
          <w:szCs w:val="32"/>
        </w:rPr>
        <w:t>，严格落实分类收运体系，将可回收物从传统的垃圾收运体系分离出来。2022年，青浦区可回收物分类量达214吨/日，覆盖废纸、废塑料、废玻璃、废纺等五大类别，生活垃圾回收利用率达50.53%，完成目标</w:t>
      </w:r>
      <w:r>
        <w:rPr>
          <w:rFonts w:hint="eastAsia" w:cs="Times New Roman"/>
          <w:sz w:val="32"/>
          <w:szCs w:val="32"/>
        </w:rPr>
        <w:t>要求</w:t>
      </w:r>
      <w:r>
        <w:rPr>
          <w:rFonts w:cs="Times New Roman"/>
          <w:sz w:val="32"/>
          <w:szCs w:val="32"/>
        </w:rPr>
        <w:t>。</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sz w:val="32"/>
          <w:szCs w:val="32"/>
        </w:rPr>
      </w:pPr>
      <w:r>
        <w:rPr>
          <w:rFonts w:cs="Times New Roman"/>
          <w:b/>
          <w:bCs/>
          <w:sz w:val="32"/>
          <w:szCs w:val="32"/>
        </w:rPr>
        <w:t>2.全程平台跟踪监督，项目管理有效</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预算单位、主管部门以及第三方服务单位均可通过</w:t>
      </w:r>
      <w:r>
        <w:rPr>
          <w:rFonts w:hint="eastAsia" w:cs="Times New Roman"/>
          <w:sz w:val="32"/>
          <w:szCs w:val="32"/>
        </w:rPr>
        <w:t>两网融合</w:t>
      </w:r>
      <w:r>
        <w:rPr>
          <w:rFonts w:cs="Times New Roman"/>
          <w:sz w:val="32"/>
          <w:szCs w:val="32"/>
        </w:rPr>
        <w:t>统一信息平台进行全</w:t>
      </w:r>
      <w:r>
        <w:rPr>
          <w:rFonts w:hint="eastAsia" w:cs="Times New Roman"/>
          <w:sz w:val="32"/>
          <w:szCs w:val="32"/>
        </w:rPr>
        <w:t>程</w:t>
      </w:r>
      <w:r>
        <w:rPr>
          <w:rFonts w:cs="Times New Roman"/>
          <w:sz w:val="32"/>
          <w:szCs w:val="32"/>
        </w:rPr>
        <w:t>跟踪监督与检测，</w:t>
      </w:r>
      <w:r>
        <w:rPr>
          <w:rFonts w:hint="eastAsia" w:cs="Times New Roman"/>
          <w:sz w:val="32"/>
          <w:szCs w:val="32"/>
        </w:rPr>
        <w:t>针对物流清运的路线提供最优选择，车辆均配备GPS定位监管运输动态，实现一站一打卡，出货频次与吨数均报送至平台监控统计，</w:t>
      </w:r>
      <w:r>
        <w:rPr>
          <w:rFonts w:cs="Times New Roman"/>
          <w:sz w:val="32"/>
          <w:szCs w:val="32"/>
        </w:rPr>
        <w:t>实时了解日常收运动态，针对收运过程中的突发事件，及时进场响应与处理，项目整体运维管理有效。</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eastAsia="楷体" w:cs="Times New Roman"/>
          <w:sz w:val="32"/>
          <w:szCs w:val="32"/>
        </w:rPr>
        <w:t>（二）主要问题</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b/>
          <w:bCs/>
          <w:sz w:val="32"/>
          <w:szCs w:val="32"/>
        </w:rPr>
      </w:pPr>
      <w:r>
        <w:rPr>
          <w:rFonts w:hint="eastAsia" w:cs="Times New Roman"/>
          <w:b/>
          <w:bCs/>
          <w:sz w:val="32"/>
          <w:szCs w:val="32"/>
        </w:rPr>
        <w:t>1</w:t>
      </w:r>
      <w:r>
        <w:rPr>
          <w:rFonts w:cs="Times New Roman"/>
          <w:b/>
          <w:bCs/>
          <w:sz w:val="32"/>
          <w:szCs w:val="32"/>
        </w:rPr>
        <w:t>.“日产日清”收运频次必要性不强</w:t>
      </w:r>
      <w:r>
        <w:rPr>
          <w:rFonts w:hint="eastAsia" w:cs="Times New Roman"/>
          <w:b/>
          <w:bCs/>
          <w:sz w:val="32"/>
          <w:szCs w:val="32"/>
        </w:rPr>
        <w:t>，</w:t>
      </w:r>
      <w:r>
        <w:rPr>
          <w:rFonts w:cs="Times New Roman"/>
          <w:b/>
          <w:bCs/>
          <w:sz w:val="32"/>
          <w:szCs w:val="32"/>
        </w:rPr>
        <w:t>培训与宣传费用执行率低</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通过实地查勘不同街镇的垃圾日产生量与查阅信息平台监测的相关收运记录，偏远乡镇</w:t>
      </w:r>
      <w:r>
        <w:rPr>
          <w:rFonts w:hint="eastAsia" w:cs="Times New Roman"/>
          <w:sz w:val="32"/>
          <w:szCs w:val="32"/>
        </w:rPr>
        <w:t>如金泽镇、朱家角镇等</w:t>
      </w:r>
      <w:r>
        <w:rPr>
          <w:rFonts w:cs="Times New Roman"/>
          <w:sz w:val="32"/>
          <w:szCs w:val="32"/>
        </w:rPr>
        <w:t>前端回收点位垃圾日产生量较低，日产日清必要性不强。</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2022年度关于培训与宣传费用预算执行率为18.90%，2021年度相关预算执行率为65.41%，根据业务记录与两年执行情况纵向对比分析，培训与宣传费用的预算执行率偏低，且通过培训与宣传的业务活动对本项目的影响力较小，</w:t>
      </w:r>
      <w:r>
        <w:rPr>
          <w:rFonts w:hint="eastAsia" w:cs="Times New Roman"/>
          <w:sz w:val="32"/>
          <w:szCs w:val="32"/>
        </w:rPr>
        <w:t>未能达到预期宣传效果</w:t>
      </w:r>
      <w:r>
        <w:rPr>
          <w:rFonts w:cs="Times New Roman"/>
          <w:sz w:val="32"/>
          <w:szCs w:val="32"/>
        </w:rPr>
        <w:t>。</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b/>
          <w:bCs/>
          <w:sz w:val="32"/>
          <w:szCs w:val="32"/>
        </w:rPr>
      </w:pPr>
      <w:r>
        <w:rPr>
          <w:rFonts w:hint="eastAsia" w:cs="Times New Roman"/>
          <w:b/>
          <w:bCs/>
          <w:sz w:val="32"/>
          <w:szCs w:val="32"/>
        </w:rPr>
        <w:t>2</w:t>
      </w:r>
      <w:r>
        <w:rPr>
          <w:rFonts w:cs="Times New Roman"/>
          <w:b/>
          <w:bCs/>
          <w:sz w:val="32"/>
          <w:szCs w:val="32"/>
        </w:rPr>
        <w:t>.镇级单位参与度较低</w:t>
      </w:r>
      <w:r>
        <w:rPr>
          <w:rFonts w:hint="eastAsia" w:cs="Times New Roman"/>
          <w:b/>
          <w:bCs/>
          <w:sz w:val="32"/>
          <w:szCs w:val="32"/>
        </w:rPr>
        <w:t>，事权与支出责任未匹配</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本项目预算资金由区级财政和镇级财政3:7比例共同承担，据项目管理流程了解，镇级单位在项目日常运维中仅参与部分考核与协调配合工作，主要的日常管理考核与监督由市容中心负责，故镇级单位参与度较低</w:t>
      </w:r>
      <w:r>
        <w:rPr>
          <w:rFonts w:hint="eastAsia" w:cs="Times New Roman"/>
          <w:sz w:val="32"/>
          <w:szCs w:val="32"/>
        </w:rPr>
        <w:t>，事权与支出责任未能相匹配</w:t>
      </w:r>
      <w:r>
        <w:rPr>
          <w:rFonts w:cs="Times New Roman"/>
          <w:sz w:val="32"/>
          <w:szCs w:val="32"/>
        </w:rPr>
        <w:t>。</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b/>
          <w:bCs/>
          <w:sz w:val="32"/>
          <w:szCs w:val="32"/>
        </w:rPr>
      </w:pPr>
      <w:r>
        <w:rPr>
          <w:rFonts w:hint="eastAsia" w:cs="Times New Roman"/>
          <w:b/>
          <w:bCs/>
          <w:sz w:val="32"/>
          <w:szCs w:val="32"/>
        </w:rPr>
        <w:t>3</w:t>
      </w:r>
      <w:r>
        <w:rPr>
          <w:rFonts w:cs="Times New Roman"/>
          <w:b/>
          <w:bCs/>
          <w:sz w:val="32"/>
          <w:szCs w:val="32"/>
        </w:rPr>
        <w:t>.前端回收点位智能交投机使用率较低</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根据实地查勘与单位访谈，前端点位居住区内的智能交投机正常使用率仅为40.34%，</w:t>
      </w:r>
      <w:r>
        <w:rPr>
          <w:rFonts w:hint="eastAsia" w:cs="Times New Roman"/>
          <w:sz w:val="32"/>
          <w:szCs w:val="32"/>
        </w:rPr>
        <w:t>主要原因系设备购买时间较长，故障发生率较高；</w:t>
      </w:r>
      <w:r>
        <w:rPr>
          <w:rFonts w:cs="Times New Roman"/>
          <w:sz w:val="32"/>
          <w:szCs w:val="32"/>
        </w:rPr>
        <w:t>且居民对正常使用的智能交投机的利用率亦偏低，</w:t>
      </w:r>
      <w:r>
        <w:rPr>
          <w:rFonts w:hint="eastAsia" w:cs="Times New Roman"/>
          <w:sz w:val="32"/>
          <w:szCs w:val="32"/>
        </w:rPr>
        <w:t>尤其针对老年人使用不够便利，</w:t>
      </w:r>
      <w:r>
        <w:rPr>
          <w:rFonts w:cs="Times New Roman"/>
          <w:sz w:val="32"/>
          <w:szCs w:val="32"/>
        </w:rPr>
        <w:t>智能交投机的使用方式有待进一步完善。</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b/>
          <w:bCs/>
          <w:sz w:val="32"/>
          <w:szCs w:val="32"/>
        </w:rPr>
      </w:pPr>
      <w:r>
        <w:rPr>
          <w:rFonts w:hint="eastAsia" w:cs="Times New Roman"/>
          <w:b/>
          <w:bCs/>
          <w:sz w:val="32"/>
          <w:szCs w:val="32"/>
        </w:rPr>
        <w:t>4</w:t>
      </w:r>
      <w:r>
        <w:rPr>
          <w:rFonts w:cs="Times New Roman"/>
          <w:b/>
          <w:bCs/>
          <w:sz w:val="32"/>
          <w:szCs w:val="32"/>
        </w:rPr>
        <w:t>.</w:t>
      </w:r>
      <w:r>
        <w:rPr>
          <w:rFonts w:hint="eastAsia" w:cs="Times New Roman"/>
          <w:b/>
          <w:bCs/>
          <w:sz w:val="32"/>
          <w:szCs w:val="32"/>
        </w:rPr>
        <w:t>部分预算编制欠合理，</w:t>
      </w:r>
      <w:r>
        <w:rPr>
          <w:rFonts w:cs="Times New Roman"/>
          <w:b/>
          <w:bCs/>
          <w:sz w:val="32"/>
          <w:szCs w:val="32"/>
        </w:rPr>
        <w:t>绩效指标欠完善</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预算明细中部分预算编制欠细化，如物流费用单次收运价格未能根据实际距离差异进行单价调整，租金费用中集散场租金单价为统一单价，未能按照办公用地与厂房用地进行细化编制</w:t>
      </w:r>
      <w:r>
        <w:rPr>
          <w:rFonts w:hint="eastAsia" w:cs="Times New Roman"/>
          <w:sz w:val="32"/>
          <w:szCs w:val="32"/>
        </w:rPr>
        <w:t>，</w:t>
      </w:r>
      <w:r>
        <w:rPr>
          <w:rFonts w:cs="Times New Roman"/>
          <w:sz w:val="32"/>
          <w:szCs w:val="32"/>
        </w:rPr>
        <w:t>6个中转站租金单价亦未能根据实际地理情况租金标准进行细化编制。此外，项目绩效指标未能根据实际实施内容进行及时调整，产出指标如时效指标欠细化，效益指标需根据市、区局下达文件指标要求进一步完善。</w:t>
      </w:r>
    </w:p>
    <w:p>
      <w:pPr>
        <w:keepNext w:val="0"/>
        <w:keepLines w:val="0"/>
        <w:pageBreakBefore w:val="0"/>
        <w:kinsoku/>
        <w:wordWrap/>
        <w:overflowPunct/>
        <w:topLinePunct w:val="0"/>
        <w:autoSpaceDE/>
        <w:autoSpaceDN/>
        <w:bidi w:val="0"/>
        <w:adjustRightInd/>
        <w:spacing w:line="540" w:lineRule="exact"/>
        <w:ind w:firstLine="640" w:firstLineChars="200"/>
        <w:rPr>
          <w:rFonts w:eastAsia="楷体" w:cs="Times New Roman"/>
          <w:sz w:val="32"/>
          <w:szCs w:val="32"/>
        </w:rPr>
      </w:pPr>
      <w:r>
        <w:rPr>
          <w:rFonts w:eastAsia="楷体" w:cs="Times New Roman"/>
          <w:sz w:val="32"/>
          <w:szCs w:val="32"/>
        </w:rPr>
        <w:t>（三）建议和改进举措</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sz w:val="32"/>
          <w:szCs w:val="32"/>
        </w:rPr>
      </w:pPr>
      <w:r>
        <w:rPr>
          <w:rFonts w:hint="eastAsia" w:cs="Times New Roman"/>
          <w:b/>
          <w:bCs/>
          <w:sz w:val="32"/>
          <w:szCs w:val="32"/>
        </w:rPr>
        <w:t>1</w:t>
      </w:r>
      <w:r>
        <w:rPr>
          <w:rFonts w:cs="Times New Roman"/>
          <w:b/>
          <w:bCs/>
          <w:sz w:val="32"/>
          <w:szCs w:val="32"/>
        </w:rPr>
        <w:t>.优化收运频次</w:t>
      </w:r>
      <w:r>
        <w:rPr>
          <w:rFonts w:hint="eastAsia" w:cs="Times New Roman"/>
          <w:b/>
          <w:bCs/>
          <w:sz w:val="32"/>
          <w:szCs w:val="32"/>
        </w:rPr>
        <w:t>，</w:t>
      </w:r>
      <w:r>
        <w:rPr>
          <w:rFonts w:cs="Times New Roman"/>
          <w:b/>
          <w:bCs/>
          <w:sz w:val="32"/>
          <w:szCs w:val="32"/>
        </w:rPr>
        <w:t>调整培训与宣传预算资金</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建议镇级单位及预算单位根据日常收运量化分不同收运频次区域，偏远区域可根据实际收运情况</w:t>
      </w:r>
      <w:r>
        <w:rPr>
          <w:rFonts w:hint="eastAsia" w:cs="Times New Roman"/>
          <w:sz w:val="32"/>
          <w:szCs w:val="32"/>
        </w:rPr>
        <w:t>酌情减少</w:t>
      </w:r>
      <w:r>
        <w:rPr>
          <w:rFonts w:cs="Times New Roman"/>
          <w:sz w:val="32"/>
          <w:szCs w:val="32"/>
        </w:rPr>
        <w:t>收运</w:t>
      </w:r>
      <w:r>
        <w:rPr>
          <w:rFonts w:hint="eastAsia" w:cs="Times New Roman"/>
          <w:sz w:val="32"/>
          <w:szCs w:val="32"/>
        </w:rPr>
        <w:t>频次</w:t>
      </w:r>
      <w:r>
        <w:rPr>
          <w:rFonts w:cs="Times New Roman"/>
          <w:sz w:val="32"/>
          <w:szCs w:val="32"/>
        </w:rPr>
        <w:t>，期间如有需要可采用电话预约方式进行收运，</w:t>
      </w:r>
      <w:r>
        <w:rPr>
          <w:rFonts w:hint="eastAsia" w:cs="Times New Roman"/>
          <w:sz w:val="32"/>
          <w:szCs w:val="32"/>
        </w:rPr>
        <w:t>或者根据可回收物收运量进行制定相应支付标准与模式，</w:t>
      </w:r>
      <w:r>
        <w:rPr>
          <w:rFonts w:cs="Times New Roman"/>
          <w:sz w:val="32"/>
          <w:szCs w:val="32"/>
        </w:rPr>
        <w:t>进一步提高财政资金使用效益。</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hint="eastAsia" w:cs="Times New Roman"/>
          <w:sz w:val="32"/>
          <w:szCs w:val="32"/>
        </w:rPr>
        <w:t>同时</w:t>
      </w:r>
      <w:r>
        <w:rPr>
          <w:rFonts w:cs="Times New Roman"/>
          <w:sz w:val="32"/>
          <w:szCs w:val="32"/>
        </w:rPr>
        <w:t>建议预算单位针对培训与宣传费用的预算资金实际执行情况与效益进行相应调整，如必要性不强，</w:t>
      </w:r>
      <w:r>
        <w:rPr>
          <w:rFonts w:hint="eastAsia" w:cs="Times New Roman"/>
          <w:sz w:val="32"/>
          <w:szCs w:val="32"/>
        </w:rPr>
        <w:t>可取消相关培训与宣传费用预算</w:t>
      </w:r>
      <w:r>
        <w:rPr>
          <w:rFonts w:cs="Times New Roman"/>
          <w:sz w:val="32"/>
          <w:szCs w:val="32"/>
        </w:rPr>
        <w:t>，进一步优化财政支出管理。</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sz w:val="32"/>
          <w:szCs w:val="32"/>
        </w:rPr>
      </w:pPr>
      <w:r>
        <w:rPr>
          <w:rFonts w:hint="eastAsia" w:cs="Times New Roman"/>
          <w:b/>
          <w:bCs/>
          <w:sz w:val="32"/>
          <w:szCs w:val="32"/>
        </w:rPr>
        <w:t>2</w:t>
      </w:r>
      <w:r>
        <w:rPr>
          <w:rFonts w:cs="Times New Roman"/>
          <w:b/>
          <w:bCs/>
          <w:sz w:val="32"/>
          <w:szCs w:val="32"/>
        </w:rPr>
        <w:t>.优化项目管理流程，提高镇级单位参与度</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建议</w:t>
      </w:r>
      <w:r>
        <w:rPr>
          <w:rFonts w:hint="eastAsia" w:cs="Times New Roman"/>
          <w:sz w:val="32"/>
          <w:szCs w:val="32"/>
        </w:rPr>
        <w:t>事权下沉，</w:t>
      </w:r>
      <w:r>
        <w:rPr>
          <w:rFonts w:cs="Times New Roman"/>
          <w:sz w:val="32"/>
          <w:szCs w:val="32"/>
        </w:rPr>
        <w:t>预算单位与镇级单位优化项目管理职责职能分配，</w:t>
      </w:r>
      <w:r>
        <w:rPr>
          <w:rFonts w:hint="eastAsia" w:cs="Times New Roman"/>
          <w:sz w:val="32"/>
          <w:szCs w:val="32"/>
        </w:rPr>
        <w:t>充分发挥基层信息优势，</w:t>
      </w:r>
      <w:r>
        <w:rPr>
          <w:rFonts w:cs="Times New Roman"/>
          <w:sz w:val="32"/>
          <w:szCs w:val="32"/>
        </w:rPr>
        <w:t>提高镇级单位在项目中的参与度与监管力度；包括但不限于镇级单位进行项目实地查勘与问题分析，且后续项目日常监督管理镇级单位亦应加大参与力度。</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sz w:val="32"/>
          <w:szCs w:val="32"/>
        </w:rPr>
      </w:pPr>
      <w:r>
        <w:rPr>
          <w:rFonts w:cs="Times New Roman"/>
          <w:b/>
          <w:bCs/>
          <w:sz w:val="32"/>
          <w:szCs w:val="32"/>
        </w:rPr>
        <w:t>3.优化智能交投机使用方式，提高使用频率</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建议镇级单位针对智能交投机实际使用情况，进行实地查勘与调研分析并汇总形成调研报告，预算单位与主管部门根据调研结果进一步商讨智能交投机使用方式，提升设备的使用率。</w:t>
      </w:r>
    </w:p>
    <w:p>
      <w:pPr>
        <w:keepNext w:val="0"/>
        <w:keepLines w:val="0"/>
        <w:pageBreakBefore w:val="0"/>
        <w:kinsoku/>
        <w:wordWrap/>
        <w:overflowPunct/>
        <w:topLinePunct w:val="0"/>
        <w:autoSpaceDE/>
        <w:autoSpaceDN/>
        <w:bidi w:val="0"/>
        <w:adjustRightInd/>
        <w:spacing w:line="540" w:lineRule="exact"/>
        <w:ind w:firstLine="643" w:firstLineChars="200"/>
        <w:rPr>
          <w:rFonts w:cs="Times New Roman"/>
          <w:b/>
          <w:bCs/>
          <w:sz w:val="32"/>
          <w:szCs w:val="32"/>
        </w:rPr>
      </w:pPr>
      <w:r>
        <w:rPr>
          <w:rFonts w:hint="eastAsia" w:cs="Times New Roman"/>
          <w:b/>
          <w:bCs/>
          <w:sz w:val="32"/>
          <w:szCs w:val="32"/>
        </w:rPr>
        <w:t>4</w:t>
      </w:r>
      <w:r>
        <w:rPr>
          <w:rFonts w:cs="Times New Roman"/>
          <w:b/>
          <w:bCs/>
          <w:sz w:val="32"/>
          <w:szCs w:val="32"/>
        </w:rPr>
        <w:t>.细化预算编制，强化绩效目标管理</w:t>
      </w:r>
    </w:p>
    <w:p>
      <w:pPr>
        <w:keepNext w:val="0"/>
        <w:keepLines w:val="0"/>
        <w:pageBreakBefore w:val="0"/>
        <w:kinsoku/>
        <w:wordWrap/>
        <w:overflowPunct/>
        <w:topLinePunct w:val="0"/>
        <w:autoSpaceDE/>
        <w:autoSpaceDN/>
        <w:bidi w:val="0"/>
        <w:adjustRightInd/>
        <w:spacing w:line="540" w:lineRule="exact"/>
        <w:ind w:firstLine="640" w:firstLineChars="200"/>
        <w:rPr>
          <w:rFonts w:cs="Times New Roman"/>
          <w:sz w:val="32"/>
          <w:szCs w:val="32"/>
        </w:rPr>
      </w:pPr>
      <w:r>
        <w:rPr>
          <w:rFonts w:cs="Times New Roman"/>
          <w:sz w:val="32"/>
          <w:szCs w:val="32"/>
        </w:rPr>
        <w:t>预算单位应根据加强项目调研工作，结合当年预算执行情况及下一年度工作计划，合理编制项目预算，包括但不限于租金费用应区分办公用房与厂房的单价测算，根据位置差异设定不同租金单价；物流费用应根据不同路线里程数测算收运单次单价等，提升预算编制的精细化水平，进而提高预算执行率。同时，针对绩效目标应根据实际项目实施内容调整细化、量化绩效指标，进一步加强绩效目标及指标编制的科学性。</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Times New Roman" w:hAnsi="Times New Roman" w:eastAsia="黑体" w:cs="Times New Roman"/>
          <w:sz w:val="32"/>
          <w:szCs w:val="32"/>
          <w:lang w:val="en-US" w:eastAsia="zh-CN"/>
        </w:rPr>
      </w:pPr>
      <w:r>
        <w:rPr>
          <w:rFonts w:hint="eastAsia" w:eastAsia="黑体" w:cs="Times New Roman"/>
          <w:sz w:val="32"/>
          <w:szCs w:val="32"/>
          <w:lang w:val="en-US" w:eastAsia="zh-CN"/>
        </w:rPr>
        <w:t>五</w:t>
      </w:r>
      <w:r>
        <w:rPr>
          <w:rFonts w:hint="eastAsia" w:ascii="Times New Roman" w:hAnsi="Times New Roman" w:eastAsia="黑体" w:cs="Times New Roman"/>
          <w:sz w:val="32"/>
          <w:szCs w:val="32"/>
          <w:lang w:val="en-US" w:eastAsia="zh-CN"/>
        </w:rPr>
        <w:t>、结果</w:t>
      </w:r>
      <w:r>
        <w:rPr>
          <w:rFonts w:hint="eastAsia" w:eastAsia="黑体" w:cs="Times New Roman"/>
          <w:sz w:val="32"/>
          <w:szCs w:val="32"/>
          <w:lang w:val="en-US" w:eastAsia="zh-CN"/>
        </w:rPr>
        <w:t>应用</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（一）优化收运频次，调整培训与宣传预算资金</w:t>
      </w:r>
    </w:p>
    <w:p>
      <w:pPr>
        <w:keepNext w:val="0"/>
        <w:keepLines w:val="0"/>
        <w:pageBreakBefore w:val="0"/>
        <w:kinsoku/>
        <w:wordWrap/>
        <w:overflowPunct/>
        <w:topLinePunct w:val="0"/>
        <w:autoSpaceDE/>
        <w:autoSpaceDN/>
        <w:bidi w:val="0"/>
        <w:adjustRightInd/>
        <w:spacing w:line="540" w:lineRule="exact"/>
        <w:ind w:firstLine="640"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整改情况：2024年该项目将进行调整，取消“日产日清”收运要求，将收运量作为工作要求及资金支付依据，合理开展收运频次；2023年该项目已取消培训与宣传费用。</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（二）优化项目管理流程，提高镇级单位参与度</w:t>
      </w:r>
    </w:p>
    <w:p>
      <w:pPr>
        <w:keepNext w:val="0"/>
        <w:keepLines w:val="0"/>
        <w:pageBreakBefore w:val="0"/>
        <w:kinsoku/>
        <w:wordWrap/>
        <w:overflowPunct/>
        <w:topLinePunct w:val="0"/>
        <w:autoSpaceDE/>
        <w:autoSpaceDN/>
        <w:bidi w:val="0"/>
        <w:adjustRightInd/>
        <w:spacing w:line="540" w:lineRule="exact"/>
        <w:ind w:firstLine="640"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整改情况：2023年8月开始，前端收运单位与各街镇联合开展可回收物进小区回收活动，进一步提高居民知晓度。2023年10月开始可回收物场站增加到9个，做到一镇一站，2024年将调整考核方案，区镇两级共同监督管理可回收物中转场站，提高街镇参与度。</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（三）优化智能交投机使用方式，提高使用频率</w:t>
      </w:r>
    </w:p>
    <w:p>
      <w:pPr>
        <w:keepNext w:val="0"/>
        <w:keepLines w:val="0"/>
        <w:pageBreakBefore w:val="0"/>
        <w:kinsoku/>
        <w:wordWrap/>
        <w:overflowPunct/>
        <w:topLinePunct w:val="0"/>
        <w:autoSpaceDE/>
        <w:autoSpaceDN/>
        <w:bidi w:val="0"/>
        <w:adjustRightInd/>
        <w:spacing w:line="540" w:lineRule="exact"/>
        <w:ind w:firstLine="640" w:firstLineChars="200"/>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整改情况：目前对撤掉部分无法使用的交投机，7月底已完成所有交投机的维修，确保正常使用，接下去将加大宣传，鼓励居民使用交投机，提高机器使用频率。</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（四）细化预算编制，强化绩效目标管理</w:t>
      </w:r>
    </w:p>
    <w:p>
      <w:pPr>
        <w:keepNext w:val="0"/>
        <w:keepLines w:val="0"/>
        <w:pageBreakBefore w:val="0"/>
        <w:kinsoku/>
        <w:wordWrap/>
        <w:overflowPunct/>
        <w:topLinePunct w:val="0"/>
        <w:autoSpaceDE/>
        <w:autoSpaceDN/>
        <w:bidi w:val="0"/>
        <w:adjustRightInd/>
        <w:spacing w:line="540" w:lineRule="exact"/>
        <w:ind w:firstLine="640" w:firstLineChars="200"/>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整改情况：2023年项目已取消培训与宣传费用；区绿容局已邀请专业单位对集散场租金价格进行市场调研，将根据调研结果合理调整租金支付金额；2024年项目预算将进行调整，改为根据收运量和进村居回收活动开展情况进行预算的编制，提高财政资金使用效益。</w:t>
      </w:r>
    </w:p>
    <w:sectPr>
      <w:headerReference r:id="rId3" w:type="default"/>
      <w:footerReference r:id="rId4"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PingFang SC">
    <w:altName w:val="Cambria"/>
    <w:panose1 w:val="00000000000000000000"/>
    <w:charset w:val="00"/>
    <w:family w:val="roman"/>
    <w:pitch w:val="default"/>
    <w:sig w:usb0="00000000" w:usb1="00000000" w:usb2="00000000" w:usb3="00000000" w:csb0="00000000" w:csb1="00000000"/>
  </w:font>
  <w:font w:name=".PingFangSC-Regular">
    <w:altName w:val="Cambria"/>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NM+8ARAgAACQQAAA4AAABkcnMvZTJvRG9jLnhtbK1TzY7TMBC+I/EO&#10;lu80aRFL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BvJ5RoprCj04/vp58Pp1/fCHwgqLV+hryNRWbo3pkOix78Hs44&#10;d1c5Fb+YiCAOqo8XekUXCI+XppPpNEeIIzb8AD97vG6dD++FUSQaBXXYX6KVHdY+9KlDSqymzaqR&#10;Mu1QatIW9Or1m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U0z7wBECAAAJBAAADgAAAAAAAAABACAA&#10;AAAfAQAAZHJzL2Uyb0RvYy54bWxQSwUGAAAAAAYABgBZAQAAog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hideSpellingErrors/>
  <w:documentProtection w:enforcement="0"/>
  <w:defaultTabStop w:val="420"/>
  <w:drawingGridVerticalSpacing w:val="198"/>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kNDI1NmQyY2JiZjdlNjFmM2E4MzM1OWRhNjU1NmMifQ=="/>
  </w:docVars>
  <w:rsids>
    <w:rsidRoot w:val="00172A27"/>
    <w:rsid w:val="001013A7"/>
    <w:rsid w:val="00172A27"/>
    <w:rsid w:val="00194F9C"/>
    <w:rsid w:val="001A290C"/>
    <w:rsid w:val="0021026F"/>
    <w:rsid w:val="002125FA"/>
    <w:rsid w:val="00457577"/>
    <w:rsid w:val="004602A1"/>
    <w:rsid w:val="00593C13"/>
    <w:rsid w:val="005B5F07"/>
    <w:rsid w:val="006058DA"/>
    <w:rsid w:val="00605DD9"/>
    <w:rsid w:val="006538C1"/>
    <w:rsid w:val="006E4098"/>
    <w:rsid w:val="008154D2"/>
    <w:rsid w:val="00890184"/>
    <w:rsid w:val="009C4A6E"/>
    <w:rsid w:val="00A21D9E"/>
    <w:rsid w:val="00A554CE"/>
    <w:rsid w:val="00A81801"/>
    <w:rsid w:val="00B55524"/>
    <w:rsid w:val="00B7015A"/>
    <w:rsid w:val="00BC33A8"/>
    <w:rsid w:val="00D04D14"/>
    <w:rsid w:val="00D14FF5"/>
    <w:rsid w:val="00DC1D52"/>
    <w:rsid w:val="00E00C2C"/>
    <w:rsid w:val="00E476A4"/>
    <w:rsid w:val="00FD2BC5"/>
    <w:rsid w:val="00FE69DB"/>
    <w:rsid w:val="00FF59B6"/>
    <w:rsid w:val="02705EF5"/>
    <w:rsid w:val="0296060C"/>
    <w:rsid w:val="04236CF0"/>
    <w:rsid w:val="04265327"/>
    <w:rsid w:val="0522236A"/>
    <w:rsid w:val="053F172A"/>
    <w:rsid w:val="077A5972"/>
    <w:rsid w:val="0802440D"/>
    <w:rsid w:val="0AB55E8E"/>
    <w:rsid w:val="0AC1532C"/>
    <w:rsid w:val="0BA365CD"/>
    <w:rsid w:val="0C721436"/>
    <w:rsid w:val="0CBC039D"/>
    <w:rsid w:val="0F647ECE"/>
    <w:rsid w:val="10D64653"/>
    <w:rsid w:val="14EB40AD"/>
    <w:rsid w:val="15AE1730"/>
    <w:rsid w:val="167672F9"/>
    <w:rsid w:val="1921188F"/>
    <w:rsid w:val="1A8A4074"/>
    <w:rsid w:val="1C320646"/>
    <w:rsid w:val="1D116F1C"/>
    <w:rsid w:val="1F464405"/>
    <w:rsid w:val="2227261F"/>
    <w:rsid w:val="23226674"/>
    <w:rsid w:val="24012618"/>
    <w:rsid w:val="26A8106F"/>
    <w:rsid w:val="26DB27D9"/>
    <w:rsid w:val="27312C2D"/>
    <w:rsid w:val="29A70264"/>
    <w:rsid w:val="2A4B5ECE"/>
    <w:rsid w:val="2A856F1D"/>
    <w:rsid w:val="2B211E7E"/>
    <w:rsid w:val="2B407B12"/>
    <w:rsid w:val="2BEC66B7"/>
    <w:rsid w:val="2DF0382D"/>
    <w:rsid w:val="2E8C526E"/>
    <w:rsid w:val="2F844141"/>
    <w:rsid w:val="2F9C01EC"/>
    <w:rsid w:val="332E0332"/>
    <w:rsid w:val="34173986"/>
    <w:rsid w:val="35953084"/>
    <w:rsid w:val="38823458"/>
    <w:rsid w:val="39052016"/>
    <w:rsid w:val="3A881FF9"/>
    <w:rsid w:val="3D4C3459"/>
    <w:rsid w:val="3D8A25F1"/>
    <w:rsid w:val="3FB53538"/>
    <w:rsid w:val="42B27D5C"/>
    <w:rsid w:val="44552145"/>
    <w:rsid w:val="45685409"/>
    <w:rsid w:val="46F9367C"/>
    <w:rsid w:val="48F0740B"/>
    <w:rsid w:val="49D70E35"/>
    <w:rsid w:val="4AC81211"/>
    <w:rsid w:val="4C1758DD"/>
    <w:rsid w:val="4D107C5D"/>
    <w:rsid w:val="4E002A6E"/>
    <w:rsid w:val="4F081B37"/>
    <w:rsid w:val="4FFE0827"/>
    <w:rsid w:val="51C55080"/>
    <w:rsid w:val="529D4A5D"/>
    <w:rsid w:val="531E4808"/>
    <w:rsid w:val="550058F4"/>
    <w:rsid w:val="55867BC2"/>
    <w:rsid w:val="589B1E71"/>
    <w:rsid w:val="58FA091A"/>
    <w:rsid w:val="594E5C41"/>
    <w:rsid w:val="5C16619D"/>
    <w:rsid w:val="5C27479C"/>
    <w:rsid w:val="5C7F6DB2"/>
    <w:rsid w:val="5D0A707B"/>
    <w:rsid w:val="5D3C0411"/>
    <w:rsid w:val="5D6A560F"/>
    <w:rsid w:val="5DDC70B6"/>
    <w:rsid w:val="5E2D0203"/>
    <w:rsid w:val="60CB07DE"/>
    <w:rsid w:val="61461DEA"/>
    <w:rsid w:val="64371AB1"/>
    <w:rsid w:val="677376B1"/>
    <w:rsid w:val="68316687"/>
    <w:rsid w:val="68D523F1"/>
    <w:rsid w:val="69F95E17"/>
    <w:rsid w:val="6AA326C0"/>
    <w:rsid w:val="6E401095"/>
    <w:rsid w:val="6E5B2F2E"/>
    <w:rsid w:val="6EE92007"/>
    <w:rsid w:val="709033E3"/>
    <w:rsid w:val="72914E8F"/>
    <w:rsid w:val="73124A8E"/>
    <w:rsid w:val="737E3665"/>
    <w:rsid w:val="75A86DD9"/>
    <w:rsid w:val="769C4A08"/>
    <w:rsid w:val="76DF6A7C"/>
    <w:rsid w:val="77C35AEB"/>
    <w:rsid w:val="788F00C3"/>
    <w:rsid w:val="79502249"/>
    <w:rsid w:val="79CA7CA9"/>
    <w:rsid w:val="7AEB1803"/>
    <w:rsid w:val="7E8D29AE"/>
    <w:rsid w:val="7FC85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3">
    <w:name w:val="heading 1"/>
    <w:basedOn w:val="1"/>
    <w:next w:val="1"/>
    <w:link w:val="28"/>
    <w:qFormat/>
    <w:uiPriority w:val="9"/>
    <w:pPr>
      <w:keepNext/>
      <w:keepLines/>
      <w:spacing w:line="560" w:lineRule="exact"/>
      <w:ind w:firstLine="200" w:firstLineChars="200"/>
      <w:outlineLvl w:val="0"/>
    </w:pPr>
    <w:rPr>
      <w:rFonts w:eastAsia="黑体"/>
      <w:b/>
      <w:bCs/>
      <w:kern w:val="44"/>
      <w:sz w:val="32"/>
      <w:szCs w:val="44"/>
    </w:rPr>
  </w:style>
  <w:style w:type="paragraph" w:styleId="2">
    <w:name w:val="heading 2"/>
    <w:basedOn w:val="1"/>
    <w:next w:val="1"/>
    <w:link w:val="29"/>
    <w:unhideWhenUsed/>
    <w:qFormat/>
    <w:uiPriority w:val="9"/>
    <w:pPr>
      <w:keepNext/>
      <w:keepLines/>
      <w:spacing w:line="560" w:lineRule="exact"/>
      <w:ind w:firstLine="200" w:firstLineChars="200"/>
      <w:outlineLvl w:val="1"/>
    </w:pPr>
    <w:rPr>
      <w:rFonts w:eastAsia="楷体" w:asciiTheme="majorHAnsi" w:hAnsiTheme="majorHAnsi" w:cstheme="majorBidi"/>
      <w:bCs/>
      <w:sz w:val="32"/>
      <w:szCs w:val="32"/>
    </w:rPr>
  </w:style>
  <w:style w:type="paragraph" w:styleId="4">
    <w:name w:val="heading 3"/>
    <w:basedOn w:val="1"/>
    <w:next w:val="1"/>
    <w:link w:val="30"/>
    <w:unhideWhenUsed/>
    <w:qFormat/>
    <w:uiPriority w:val="9"/>
    <w:pPr>
      <w:keepNext/>
      <w:keepLines/>
      <w:spacing w:line="560" w:lineRule="exact"/>
      <w:ind w:firstLine="200" w:firstLineChars="200"/>
      <w:outlineLvl w:val="2"/>
    </w:pPr>
    <w:rPr>
      <w:rFonts w:eastAsia="宋体"/>
      <w:b/>
      <w:bCs/>
      <w:szCs w:val="32"/>
    </w:rPr>
  </w:style>
  <w:style w:type="paragraph" w:styleId="5">
    <w:name w:val="heading 4"/>
    <w:basedOn w:val="1"/>
    <w:next w:val="1"/>
    <w:qFormat/>
    <w:uiPriority w:val="0"/>
    <w:pPr>
      <w:keepNext/>
      <w:keepLines/>
      <w:ind w:firstLine="562" w:firstLineChars="200"/>
      <w:outlineLvl w:val="3"/>
    </w:pPr>
  </w:style>
  <w:style w:type="paragraph" w:styleId="6">
    <w:name w:val="heading 9"/>
    <w:basedOn w:val="1"/>
    <w:next w:val="1"/>
    <w:semiHidden/>
    <w:unhideWhenUsed/>
    <w:qFormat/>
    <w:uiPriority w:val="9"/>
    <w:pPr>
      <w:keepNext/>
      <w:keepLines/>
      <w:spacing w:before="240" w:after="64" w:line="317" w:lineRule="auto"/>
      <w:outlineLvl w:val="8"/>
    </w:pPr>
    <w:rPr>
      <w:rFonts w:ascii="Arial" w:hAnsi="Arial" w:eastAsia="黑体"/>
      <w:sz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39"/>
    <w:semiHidden/>
    <w:unhideWhenUsed/>
    <w:qFormat/>
    <w:uiPriority w:val="99"/>
    <w:pPr>
      <w:jc w:val="left"/>
    </w:pPr>
  </w:style>
  <w:style w:type="paragraph" w:styleId="8">
    <w:name w:val="toc 3"/>
    <w:basedOn w:val="1"/>
    <w:next w:val="1"/>
    <w:unhideWhenUsed/>
    <w:qFormat/>
    <w:uiPriority w:val="39"/>
    <w:pPr>
      <w:widowControl/>
      <w:spacing w:after="100" w:line="259" w:lineRule="auto"/>
      <w:ind w:left="440"/>
      <w:jc w:val="left"/>
    </w:pPr>
    <w:rPr>
      <w:rFonts w:cs="Times New Roman"/>
      <w:kern w:val="0"/>
      <w:sz w:val="22"/>
    </w:rPr>
  </w:style>
  <w:style w:type="paragraph" w:styleId="9">
    <w:name w:val="Plain Text"/>
    <w:basedOn w:val="1"/>
    <w:qFormat/>
    <w:uiPriority w:val="0"/>
    <w:rPr>
      <w:rFonts w:ascii="宋体" w:hAnsi="Courier New"/>
      <w:szCs w:val="20"/>
    </w:rPr>
  </w:style>
  <w:style w:type="paragraph" w:styleId="10">
    <w:name w:val="Date"/>
    <w:basedOn w:val="1"/>
    <w:next w:val="1"/>
    <w:link w:val="27"/>
    <w:semiHidden/>
    <w:unhideWhenUsed/>
    <w:qFormat/>
    <w:uiPriority w:val="99"/>
    <w:pPr>
      <w:ind w:left="100" w:leftChars="2500"/>
    </w:pPr>
  </w:style>
  <w:style w:type="paragraph" w:styleId="11">
    <w:name w:val="Balloon Text"/>
    <w:basedOn w:val="1"/>
    <w:link w:val="38"/>
    <w:semiHidden/>
    <w:unhideWhenUsed/>
    <w:qFormat/>
    <w:uiPriority w:val="99"/>
    <w:rPr>
      <w:sz w:val="18"/>
      <w:szCs w:val="18"/>
    </w:rPr>
  </w:style>
  <w:style w:type="paragraph" w:styleId="12">
    <w:name w:val="footer"/>
    <w:basedOn w:val="1"/>
    <w:link w:val="26"/>
    <w:unhideWhenUsed/>
    <w:qFormat/>
    <w:uiPriority w:val="99"/>
    <w:pPr>
      <w:tabs>
        <w:tab w:val="center" w:pos="4153"/>
        <w:tab w:val="right" w:pos="8306"/>
      </w:tabs>
      <w:snapToGrid w:val="0"/>
      <w:jc w:val="left"/>
    </w:pPr>
    <w:rPr>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tabs>
        <w:tab w:val="right" w:leader="dot" w:pos="8296"/>
      </w:tabs>
      <w:spacing w:after="100" w:line="259" w:lineRule="auto"/>
      <w:jc w:val="left"/>
    </w:pPr>
    <w:rPr>
      <w:rFonts w:ascii="宋体" w:hAnsi="宋体" w:eastAsia="宋体" w:cs="Times New Roman"/>
      <w:b/>
      <w:bCs/>
      <w:kern w:val="0"/>
      <w:szCs w:val="28"/>
    </w:rPr>
  </w:style>
  <w:style w:type="paragraph" w:styleId="15">
    <w:name w:val="footnote text"/>
    <w:basedOn w:val="1"/>
    <w:semiHidden/>
    <w:unhideWhenUsed/>
    <w:qFormat/>
    <w:uiPriority w:val="99"/>
    <w:pPr>
      <w:snapToGrid w:val="0"/>
      <w:spacing w:beforeLines="50" w:afterLines="50" w:line="360" w:lineRule="auto"/>
      <w:jc w:val="left"/>
    </w:pPr>
    <w:rPr>
      <w:rFonts w:cs="Times New Roman"/>
      <w:sz w:val="18"/>
      <w:szCs w:val="18"/>
    </w:rPr>
  </w:style>
  <w:style w:type="paragraph" w:styleId="16">
    <w:name w:val="toc 2"/>
    <w:basedOn w:val="1"/>
    <w:next w:val="1"/>
    <w:unhideWhenUsed/>
    <w:qFormat/>
    <w:uiPriority w:val="39"/>
    <w:pPr>
      <w:widowControl/>
      <w:tabs>
        <w:tab w:val="right" w:leader="dot" w:pos="8296"/>
      </w:tabs>
      <w:spacing w:line="500" w:lineRule="exact"/>
      <w:ind w:left="420" w:leftChars="200"/>
    </w:pPr>
    <w:rPr>
      <w:rFonts w:cs="Times New Roman"/>
      <w:kern w:val="0"/>
      <w:sz w:val="22"/>
    </w:rPr>
  </w:style>
  <w:style w:type="paragraph" w:styleId="17">
    <w:name w:val="annotation subject"/>
    <w:basedOn w:val="7"/>
    <w:next w:val="7"/>
    <w:link w:val="40"/>
    <w:semiHidden/>
    <w:unhideWhenUsed/>
    <w:qFormat/>
    <w:uiPriority w:val="99"/>
    <w:rPr>
      <w:b/>
      <w:bCs/>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page number"/>
    <w:qFormat/>
    <w:uiPriority w:val="0"/>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character" w:styleId="24">
    <w:name w:val="footnote reference"/>
    <w:basedOn w:val="20"/>
    <w:semiHidden/>
    <w:unhideWhenUsed/>
    <w:qFormat/>
    <w:uiPriority w:val="99"/>
    <w:rPr>
      <w:vertAlign w:val="superscript"/>
    </w:rPr>
  </w:style>
  <w:style w:type="character" w:customStyle="1" w:styleId="25">
    <w:name w:val="页眉 Char"/>
    <w:basedOn w:val="20"/>
    <w:link w:val="13"/>
    <w:qFormat/>
    <w:uiPriority w:val="99"/>
    <w:rPr>
      <w:sz w:val="18"/>
      <w:szCs w:val="18"/>
    </w:rPr>
  </w:style>
  <w:style w:type="character" w:customStyle="1" w:styleId="26">
    <w:name w:val="页脚 Char"/>
    <w:basedOn w:val="20"/>
    <w:link w:val="12"/>
    <w:qFormat/>
    <w:uiPriority w:val="99"/>
    <w:rPr>
      <w:sz w:val="18"/>
      <w:szCs w:val="18"/>
    </w:rPr>
  </w:style>
  <w:style w:type="character" w:customStyle="1" w:styleId="27">
    <w:name w:val="日期 Char"/>
    <w:basedOn w:val="20"/>
    <w:link w:val="10"/>
    <w:semiHidden/>
    <w:qFormat/>
    <w:uiPriority w:val="99"/>
  </w:style>
  <w:style w:type="character" w:customStyle="1" w:styleId="28">
    <w:name w:val="标题 1 Char"/>
    <w:basedOn w:val="20"/>
    <w:link w:val="3"/>
    <w:qFormat/>
    <w:uiPriority w:val="9"/>
    <w:rPr>
      <w:rFonts w:eastAsia="黑体"/>
      <w:b/>
      <w:bCs/>
      <w:kern w:val="44"/>
      <w:sz w:val="32"/>
      <w:szCs w:val="44"/>
    </w:rPr>
  </w:style>
  <w:style w:type="character" w:customStyle="1" w:styleId="29">
    <w:name w:val="标题 2 Char"/>
    <w:basedOn w:val="20"/>
    <w:link w:val="2"/>
    <w:qFormat/>
    <w:uiPriority w:val="9"/>
    <w:rPr>
      <w:rFonts w:eastAsia="楷体" w:asciiTheme="majorHAnsi" w:hAnsiTheme="majorHAnsi" w:cstheme="majorBidi"/>
      <w:bCs/>
      <w:sz w:val="32"/>
      <w:szCs w:val="32"/>
    </w:rPr>
  </w:style>
  <w:style w:type="character" w:customStyle="1" w:styleId="30">
    <w:name w:val="标题 3 Char"/>
    <w:basedOn w:val="20"/>
    <w:link w:val="4"/>
    <w:qFormat/>
    <w:uiPriority w:val="9"/>
    <w:rPr>
      <w:rFonts w:eastAsia="宋体"/>
      <w:b/>
      <w:bCs/>
      <w:sz w:val="28"/>
      <w:szCs w:val="32"/>
    </w:rPr>
  </w:style>
  <w:style w:type="paragraph" w:customStyle="1" w:styleId="31">
    <w:name w:val="TOC 标题1"/>
    <w:basedOn w:val="3"/>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val="0"/>
      <w:bCs w:val="0"/>
      <w:color w:val="2F5597" w:themeColor="accent1" w:themeShade="BF"/>
      <w:kern w:val="0"/>
      <w:szCs w:val="32"/>
    </w:rPr>
  </w:style>
  <w:style w:type="paragraph" w:customStyle="1" w:styleId="32">
    <w:name w:val="修订1"/>
    <w:hidden/>
    <w:semiHidden/>
    <w:qFormat/>
    <w:uiPriority w:val="99"/>
    <w:rPr>
      <w:rFonts w:ascii="Times New Roman" w:hAnsi="Times New Roman" w:eastAsia="方正仿宋_GB2312" w:cstheme="minorBidi"/>
      <w:kern w:val="2"/>
      <w:sz w:val="28"/>
      <w:szCs w:val="22"/>
      <w:lang w:val="en-US" w:eastAsia="zh-CN" w:bidi="ar-SA"/>
    </w:rPr>
  </w:style>
  <w:style w:type="paragraph" w:customStyle="1" w:styleId="33">
    <w:name w:val="3"/>
    <w:basedOn w:val="1"/>
    <w:qFormat/>
    <w:uiPriority w:val="0"/>
    <w:pPr>
      <w:jc w:val="center"/>
      <w:outlineLvl w:val="3"/>
    </w:pPr>
    <w:rPr>
      <w:b/>
      <w:sz w:val="24"/>
      <w:szCs w:val="24"/>
    </w:rPr>
  </w:style>
  <w:style w:type="character" w:customStyle="1" w:styleId="34">
    <w:name w:val="font11"/>
    <w:basedOn w:val="20"/>
    <w:qFormat/>
    <w:uiPriority w:val="0"/>
    <w:rPr>
      <w:rFonts w:hint="default" w:ascii="仿宋_GB2312" w:eastAsia="仿宋_GB2312" w:cs="仿宋_GB2312"/>
      <w:color w:val="000000"/>
      <w:sz w:val="21"/>
      <w:szCs w:val="21"/>
      <w:u w:val="none"/>
    </w:rPr>
  </w:style>
  <w:style w:type="paragraph" w:customStyle="1" w:styleId="35">
    <w:name w:val="Body text|1"/>
    <w:basedOn w:val="1"/>
    <w:qFormat/>
    <w:uiPriority w:val="0"/>
    <w:pPr>
      <w:spacing w:after="160" w:line="350" w:lineRule="auto"/>
      <w:ind w:firstLine="400"/>
    </w:pPr>
    <w:rPr>
      <w:rFonts w:ascii="宋体" w:hAnsi="宋体" w:eastAsia="宋体" w:cs="宋体"/>
      <w:sz w:val="26"/>
      <w:szCs w:val="26"/>
      <w:lang w:val="zh-TW" w:eastAsia="zh-TW" w:bidi="zh-TW"/>
    </w:rPr>
  </w:style>
  <w:style w:type="paragraph" w:customStyle="1" w:styleId="36">
    <w:name w:val="li1"/>
    <w:basedOn w:val="1"/>
    <w:qFormat/>
    <w:uiPriority w:val="0"/>
    <w:pPr>
      <w:widowControl/>
      <w:jc w:val="left"/>
    </w:pPr>
    <w:rPr>
      <w:rFonts w:ascii=".PingFang SC" w:hAnsi=".PingFang SC" w:eastAsia="宋体" w:cs="宋体"/>
      <w:kern w:val="0"/>
      <w:sz w:val="26"/>
      <w:szCs w:val="26"/>
    </w:rPr>
  </w:style>
  <w:style w:type="character" w:customStyle="1" w:styleId="37">
    <w:name w:val="s2"/>
    <w:basedOn w:val="20"/>
    <w:qFormat/>
    <w:uiPriority w:val="0"/>
    <w:rPr>
      <w:rFonts w:hint="default" w:ascii=".PingFangSC-Regular" w:hAnsi=".PingFangSC-Regular"/>
      <w:sz w:val="26"/>
      <w:szCs w:val="26"/>
    </w:rPr>
  </w:style>
  <w:style w:type="character" w:customStyle="1" w:styleId="38">
    <w:name w:val="批注框文本 Char"/>
    <w:basedOn w:val="20"/>
    <w:link w:val="11"/>
    <w:semiHidden/>
    <w:qFormat/>
    <w:uiPriority w:val="99"/>
    <w:rPr>
      <w:rFonts w:eastAsia="仿宋_GB2312" w:cstheme="minorBidi"/>
      <w:kern w:val="2"/>
      <w:sz w:val="18"/>
      <w:szCs w:val="18"/>
    </w:rPr>
  </w:style>
  <w:style w:type="character" w:customStyle="1" w:styleId="39">
    <w:name w:val="批注文字 Char"/>
    <w:basedOn w:val="20"/>
    <w:link w:val="7"/>
    <w:semiHidden/>
    <w:qFormat/>
    <w:uiPriority w:val="99"/>
    <w:rPr>
      <w:rFonts w:eastAsia="仿宋_GB2312" w:cstheme="minorBidi"/>
      <w:kern w:val="2"/>
      <w:sz w:val="28"/>
      <w:szCs w:val="22"/>
    </w:rPr>
  </w:style>
  <w:style w:type="character" w:customStyle="1" w:styleId="40">
    <w:name w:val="批注主题 Char"/>
    <w:basedOn w:val="39"/>
    <w:link w:val="17"/>
    <w:semiHidden/>
    <w:qFormat/>
    <w:uiPriority w:val="99"/>
    <w:rPr>
      <w:rFonts w:eastAsia="仿宋_GB2312" w:cstheme="minorBidi"/>
      <w:b/>
      <w:bCs/>
      <w:kern w:val="2"/>
      <w:sz w:val="28"/>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12A422A-641E-4B55-98B6-823A84023E59}">
  <ds:schemaRefs/>
</ds:datastoreItem>
</file>

<file path=docProps/app.xml><?xml version="1.0" encoding="utf-8"?>
<Properties xmlns="http://schemas.openxmlformats.org/officeDocument/2006/extended-properties" xmlns:vt="http://schemas.openxmlformats.org/officeDocument/2006/docPropsVTypes">
  <Template>Normal</Template>
  <Pages>258</Pages>
  <Words>56238</Words>
  <Characters>61580</Characters>
  <Lines>501</Lines>
  <Paragraphs>141</Paragraphs>
  <TotalTime>0</TotalTime>
  <ScaleCrop>false</ScaleCrop>
  <LinksUpToDate>false</LinksUpToDate>
  <CharactersWithSpaces>63242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2023-08-24T14:16:00Z</dcterms:created>
  <dc:creator>茜</dc:creator>
  <cp:lastModifiedBy>Administrator</cp:lastModifiedBy>
  <cp:lastPrinted>2023-08-29T03:00:00Z</cp:lastPrinted>
  <dcterms:modified xsi:type="dcterms:W3CDTF">2024-01-08T08:53:59Z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82AAC1D3FAE844BA8B082FCE5EF95D81_13</vt:lpwstr>
  </property>
</Properties>
</file>