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方正小标宋简体" w:hAnsi="方正小标宋简体" w:eastAsia="方正小标宋简体" w:cs="方正小标宋简体"/>
          <w:b w:val="0"/>
          <w:bCs w:val="0"/>
          <w:sz w:val="44"/>
          <w:szCs w:val="44"/>
          <w:lang w:val="en-US" w:eastAsia="zh-CN"/>
        </w:rPr>
      </w:pPr>
      <w:bookmarkStart w:id="0" w:name="_Toc12856"/>
      <w:bookmarkStart w:id="1" w:name="_Toc26486"/>
      <w:r>
        <w:rPr>
          <w:rFonts w:hint="eastAsia" w:ascii="方正小标宋简体" w:hAnsi="方正小标宋简体" w:eastAsia="方正小标宋简体" w:cs="方正小标宋简体"/>
          <w:b w:val="0"/>
          <w:bCs w:val="0"/>
          <w:sz w:val="44"/>
          <w:szCs w:val="44"/>
        </w:rPr>
        <w:t>2022年青浦区</w:t>
      </w:r>
      <w:r>
        <w:rPr>
          <w:rFonts w:hint="eastAsia" w:ascii="方正小标宋简体" w:hAnsi="方正小标宋简体" w:eastAsia="方正小标宋简体" w:cs="方正小标宋简体"/>
          <w:b w:val="0"/>
          <w:bCs w:val="0"/>
          <w:sz w:val="44"/>
          <w:szCs w:val="44"/>
          <w:lang w:val="en-US" w:eastAsia="zh-CN"/>
        </w:rPr>
        <w:t>农产品质量安全中心</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整体支出绩效评价结果信息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b w:val="0"/>
          <w:bCs w:val="0"/>
          <w:sz w:val="32"/>
          <w:szCs w:val="32"/>
        </w:rPr>
      </w:pPr>
      <w:bookmarkStart w:id="2" w:name="_Toc27074"/>
      <w:bookmarkStart w:id="3" w:name="_Toc22976"/>
      <w:bookmarkStart w:id="4" w:name="_Toc27527"/>
      <w:bookmarkStart w:id="5" w:name="_Toc3750"/>
      <w:bookmarkStart w:id="6" w:name="_Toc2686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b w:val="0"/>
          <w:bCs w:val="0"/>
          <w:sz w:val="32"/>
          <w:szCs w:val="32"/>
        </w:rPr>
      </w:pPr>
      <w:r>
        <w:rPr>
          <w:rFonts w:hint="eastAsia" w:ascii="黑体" w:hAnsi="黑体" w:eastAsia="黑体" w:cs="Times New Roman"/>
          <w:b w:val="0"/>
          <w:bCs w:val="0"/>
          <w:sz w:val="32"/>
          <w:szCs w:val="32"/>
        </w:rPr>
        <w:t>一、</w:t>
      </w:r>
      <w:r>
        <w:rPr>
          <w:rFonts w:hint="eastAsia" w:ascii="黑体" w:hAnsi="黑体" w:eastAsia="黑体" w:cs="Times New Roman"/>
          <w:b w:val="0"/>
          <w:bCs w:val="0"/>
          <w:sz w:val="32"/>
          <w:szCs w:val="32"/>
          <w:lang w:val="en-US" w:eastAsia="zh-CN"/>
        </w:rPr>
        <w:t>部门基本</w:t>
      </w:r>
      <w:r>
        <w:rPr>
          <w:rFonts w:hint="eastAsia" w:ascii="黑体" w:hAnsi="黑体" w:eastAsia="黑体" w:cs="Times New Roman"/>
          <w:b w:val="0"/>
          <w:bCs w:val="0"/>
          <w:sz w:val="32"/>
          <w:szCs w:val="32"/>
        </w:rPr>
        <w:t>概况</w:t>
      </w:r>
      <w:bookmarkEnd w:id="2"/>
      <w:bookmarkEnd w:id="3"/>
      <w:bookmarkEnd w:id="4"/>
      <w:bookmarkEnd w:id="5"/>
      <w:bookmarkEnd w:id="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2021年1月，青浦区通过机构整合成立上海市青浦区农产品质量安全中心，加挂上海市青浦区动物疫病预防控制中心牌子，承担农业质量安全检验检测（除水产品外）、动物疫病防控技术推广及公共卫生安全保障、绿色农产品发展3项核心职能，分别由防疫科、兽医实验室、农产品实验室、绿色认证监管科等科室负责具体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2022年中心年初预算金额为1200.05万元，调整后预算为1437.91万元，其中人员经费因社保基数以及绩效增长、交通费改由工资类指标支出等情况调增30.67%；公用经费主要基于厉行节约原则实施，调减10.80%；项目支出年中因承接市农委下派农（渔）包装袋和过期农药转运处置工作，调增16.12%。截至年末实际执行1405.63万元，预算执行率为97.75%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截至2022年12月31日，青浦区畜禽养殖均为散养户和家养户，养殖户共计2500户。主要畜禽存栏：鸡38000羽、鸭23000羽、鸽子11000羽、羊1900头，马215匹。区内共有狂犬病定点免疫点34家（包括11个街镇兽医站和23个宠物诊疗机构免疫点）、狂犬病防疫示范村/居27个，示范村/居养犬总数2400余只，全年未有重大动物疫情及内源性狂犬病疫情发生，平均免疫合格率90.71%。共有113家企业共182个产品获得绿色食品认证，认证率34.50%，获证产品抽检合格率100%且未有质量安全事故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b w:val="0"/>
          <w:bCs w:val="0"/>
          <w:sz w:val="32"/>
          <w:szCs w:val="32"/>
        </w:rPr>
      </w:pPr>
      <w:bookmarkStart w:id="7" w:name="_Toc20065"/>
      <w:bookmarkStart w:id="8" w:name="_Toc527"/>
      <w:bookmarkStart w:id="9" w:name="_Toc5798"/>
      <w:bookmarkStart w:id="10" w:name="_Toc7802"/>
      <w:r>
        <w:rPr>
          <w:rFonts w:hint="eastAsia" w:ascii="黑体" w:hAnsi="黑体" w:eastAsia="黑体" w:cs="Times New Roman"/>
          <w:b w:val="0"/>
          <w:bCs w:val="0"/>
          <w:sz w:val="32"/>
          <w:szCs w:val="32"/>
          <w:lang w:val="en-US" w:eastAsia="zh-CN"/>
        </w:rPr>
        <w:t>二、评价工作开展情况</w:t>
      </w:r>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b w:val="0"/>
          <w:bCs w:val="0"/>
          <w:sz w:val="32"/>
          <w:szCs w:val="32"/>
          <w:lang w:val="en-US" w:eastAsia="zh-CN"/>
        </w:rPr>
      </w:pPr>
      <w:r>
        <w:rPr>
          <w:rFonts w:hint="eastAsia" w:ascii="仿宋" w:hAnsi="仿宋" w:eastAsia="仿宋" w:cs="仿宋"/>
          <w:b w:val="0"/>
          <w:bCs w:val="0"/>
          <w:sz w:val="32"/>
          <w:szCs w:val="32"/>
        </w:rPr>
        <w:t>202</w:t>
      </w:r>
      <w:r>
        <w:rPr>
          <w:rFonts w:hint="eastAsia" w:ascii="仿宋" w:hAnsi="仿宋" w:eastAsia="仿宋" w:cs="仿宋"/>
          <w:b w:val="0"/>
          <w:bCs w:val="0"/>
          <w:sz w:val="32"/>
          <w:szCs w:val="32"/>
          <w:lang w:val="en-US" w:eastAsia="zh-CN"/>
        </w:rPr>
        <w:t>3</w:t>
      </w:r>
      <w:r>
        <w:rPr>
          <w:rFonts w:hint="eastAsia" w:ascii="仿宋" w:hAnsi="仿宋" w:eastAsia="仿宋" w:cs="仿宋"/>
          <w:b w:val="0"/>
          <w:bCs w:val="0"/>
          <w:color w:val="auto"/>
          <w:sz w:val="32"/>
          <w:szCs w:val="32"/>
        </w:rPr>
        <w:t>年</w:t>
      </w:r>
      <w:r>
        <w:rPr>
          <w:rFonts w:hint="eastAsia" w:ascii="仿宋" w:hAnsi="仿宋" w:eastAsia="仿宋" w:cs="仿宋"/>
          <w:b w:val="0"/>
          <w:bCs w:val="0"/>
          <w:color w:val="auto"/>
          <w:sz w:val="32"/>
          <w:szCs w:val="32"/>
          <w:lang w:val="en-US" w:eastAsia="zh-CN"/>
        </w:rPr>
        <w:t>2</w:t>
      </w:r>
      <w:r>
        <w:rPr>
          <w:rFonts w:hint="eastAsia" w:ascii="仿宋" w:hAnsi="仿宋" w:eastAsia="仿宋" w:cs="仿宋"/>
          <w:b w:val="0"/>
          <w:bCs w:val="0"/>
          <w:color w:val="auto"/>
          <w:sz w:val="32"/>
          <w:szCs w:val="32"/>
        </w:rPr>
        <w:t>月</w:t>
      </w:r>
      <w:bookmarkStart w:id="30" w:name="_GoBack"/>
      <w:r>
        <w:rPr>
          <w:rFonts w:hint="eastAsia" w:ascii="仿宋" w:hAnsi="仿宋" w:eastAsia="仿宋" w:cs="仿宋"/>
          <w:b/>
          <w:bCs/>
          <w:color w:val="auto"/>
          <w:sz w:val="32"/>
          <w:szCs w:val="32"/>
        </w:rPr>
        <w:t>上海</w:t>
      </w:r>
      <w:r>
        <w:rPr>
          <w:rFonts w:hint="eastAsia" w:ascii="仿宋" w:hAnsi="仿宋" w:eastAsia="仿宋" w:cs="仿宋"/>
          <w:b/>
          <w:bCs/>
          <w:color w:val="auto"/>
          <w:sz w:val="32"/>
          <w:szCs w:val="32"/>
          <w:lang w:val="en-US" w:eastAsia="zh-CN"/>
        </w:rPr>
        <w:t>祁骋商务咨询</w:t>
      </w:r>
      <w:r>
        <w:rPr>
          <w:rFonts w:hint="eastAsia" w:ascii="仿宋" w:hAnsi="仿宋" w:eastAsia="仿宋" w:cs="仿宋"/>
          <w:b/>
          <w:bCs/>
          <w:color w:val="auto"/>
          <w:sz w:val="32"/>
          <w:szCs w:val="32"/>
        </w:rPr>
        <w:t>有限公司</w:t>
      </w:r>
      <w:bookmarkEnd w:id="30"/>
      <w:r>
        <w:rPr>
          <w:rFonts w:hint="eastAsia" w:ascii="仿宋" w:hAnsi="仿宋" w:eastAsia="仿宋" w:cs="仿宋"/>
          <w:b w:val="0"/>
          <w:bCs w:val="0"/>
          <w:color w:val="auto"/>
          <w:sz w:val="32"/>
          <w:szCs w:val="32"/>
        </w:rPr>
        <w:t>受青浦区</w:t>
      </w:r>
      <w:r>
        <w:rPr>
          <w:rFonts w:hint="eastAsia" w:ascii="仿宋" w:hAnsi="仿宋" w:eastAsia="仿宋" w:cs="仿宋"/>
          <w:b w:val="0"/>
          <w:bCs w:val="0"/>
          <w:color w:val="auto"/>
          <w:sz w:val="32"/>
          <w:szCs w:val="32"/>
          <w:lang w:val="en-US" w:eastAsia="zh-CN"/>
        </w:rPr>
        <w:t>财政局</w:t>
      </w:r>
      <w:r>
        <w:rPr>
          <w:rFonts w:hint="eastAsia" w:ascii="仿宋" w:hAnsi="仿宋" w:eastAsia="仿宋" w:cs="仿宋"/>
          <w:b w:val="0"/>
          <w:bCs w:val="0"/>
          <w:color w:val="auto"/>
          <w:sz w:val="32"/>
          <w:szCs w:val="32"/>
        </w:rPr>
        <w:t>委托，对20</w:t>
      </w:r>
      <w:r>
        <w:rPr>
          <w:rFonts w:hint="eastAsia" w:ascii="仿宋" w:hAnsi="仿宋" w:eastAsia="仿宋" w:cs="仿宋"/>
          <w:b w:val="0"/>
          <w:bCs w:val="0"/>
          <w:color w:val="auto"/>
          <w:sz w:val="32"/>
          <w:szCs w:val="32"/>
          <w:lang w:val="en-US" w:eastAsia="zh-CN"/>
        </w:rPr>
        <w:t>22</w:t>
      </w:r>
      <w:r>
        <w:rPr>
          <w:rFonts w:hint="eastAsia" w:ascii="仿宋" w:hAnsi="仿宋" w:eastAsia="仿宋" w:cs="仿宋"/>
          <w:b w:val="0"/>
          <w:bCs w:val="0"/>
          <w:color w:val="auto"/>
          <w:sz w:val="32"/>
          <w:szCs w:val="32"/>
        </w:rPr>
        <w:t>年</w:t>
      </w:r>
      <w:r>
        <w:rPr>
          <w:rFonts w:hint="eastAsia" w:ascii="仿宋" w:hAnsi="仿宋" w:eastAsia="仿宋" w:cs="仿宋"/>
          <w:b w:val="0"/>
          <w:bCs w:val="0"/>
          <w:sz w:val="32"/>
          <w:szCs w:val="32"/>
          <w:lang w:val="en-US" w:eastAsia="zh-CN"/>
        </w:rPr>
        <w:t>青浦区农产品质量安全中心（动物疫病预防控制中心）</w:t>
      </w:r>
      <w:r>
        <w:rPr>
          <w:rFonts w:hint="eastAsia" w:ascii="仿宋" w:hAnsi="仿宋" w:eastAsia="仿宋" w:cs="仿宋"/>
          <w:b w:val="0"/>
          <w:bCs w:val="0"/>
          <w:sz w:val="32"/>
          <w:szCs w:val="32"/>
        </w:rPr>
        <w:t>实施</w:t>
      </w:r>
      <w:r>
        <w:rPr>
          <w:rFonts w:hint="eastAsia" w:ascii="仿宋" w:hAnsi="仿宋" w:eastAsia="仿宋" w:cs="仿宋"/>
          <w:b w:val="0"/>
          <w:bCs w:val="0"/>
          <w:sz w:val="32"/>
          <w:szCs w:val="32"/>
          <w:lang w:val="en-US" w:eastAsia="zh-CN"/>
        </w:rPr>
        <w:t>部门整体</w:t>
      </w:r>
      <w:r>
        <w:rPr>
          <w:rFonts w:hint="eastAsia" w:ascii="仿宋" w:hAnsi="仿宋" w:eastAsia="仿宋" w:cs="仿宋"/>
          <w:b w:val="0"/>
          <w:bCs w:val="0"/>
          <w:sz w:val="32"/>
          <w:szCs w:val="32"/>
        </w:rPr>
        <w:t>财政支出绩效评价</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本次评价实施首先通过学习研究中心基础资料和公开信息，对单位基本情况进行初步了解，并通过与单位领导沟通，梳理单位历史沿革，归集核心职能，与单位科室划分、项目设立情况进行挂钩。继而通过补充访谈相关负责人，了解各项职责活动的实施管理情况，分别从合同、物资、补贴等管理层面进行关注。同时获取单位管理台账和产出、效果数据，便于与目标值、历史和计划数据等比较。经</w:t>
      </w:r>
      <w:r>
        <w:rPr>
          <w:rFonts w:hint="eastAsia" w:ascii="仿宋" w:hAnsi="仿宋" w:eastAsia="仿宋" w:cs="仿宋"/>
          <w:b w:val="0"/>
          <w:bCs w:val="0"/>
          <w:sz w:val="32"/>
          <w:szCs w:val="32"/>
        </w:rPr>
        <w:t>评价组内部多次研讨</w:t>
      </w:r>
      <w:r>
        <w:rPr>
          <w:rFonts w:hint="eastAsia" w:ascii="仿宋" w:hAnsi="仿宋" w:eastAsia="仿宋" w:cs="仿宋"/>
          <w:b w:val="0"/>
          <w:bCs w:val="0"/>
          <w:sz w:val="32"/>
          <w:szCs w:val="32"/>
          <w:lang w:val="en-US" w:eastAsia="zh-CN"/>
        </w:rPr>
        <w:t>于4月完成工作方案，根据评审会专家、支出科室等意见，按照项目分类不同分别对预算编制进行考察，补充对资产、政府采购、长效管理方面的关注。报告阶段，评价组按照方案向履职相关方发放问卷，统计调查结果并加以分析。</w:t>
      </w:r>
      <w:r>
        <w:rPr>
          <w:rFonts w:hint="eastAsia" w:ascii="仿宋" w:hAnsi="仿宋" w:eastAsia="仿宋" w:cs="仿宋"/>
          <w:b w:val="0"/>
          <w:bCs w:val="0"/>
          <w:color w:val="auto"/>
          <w:kern w:val="2"/>
          <w:sz w:val="32"/>
          <w:szCs w:val="32"/>
          <w:lang w:val="en-US" w:eastAsia="zh-CN" w:bidi="ar-SA"/>
        </w:rPr>
        <w:t>综上，根据收集的数据资料进行综合定性判断和计算分析，于6月完成结论资料的撰写。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b w:val="0"/>
          <w:bCs w:val="0"/>
          <w:sz w:val="32"/>
          <w:szCs w:val="32"/>
          <w:lang w:val="en-US" w:eastAsia="zh-CN"/>
        </w:rPr>
      </w:pPr>
      <w:bookmarkStart w:id="11" w:name="_Toc1712"/>
      <w:bookmarkStart w:id="12" w:name="_Toc3529"/>
      <w:bookmarkStart w:id="13" w:name="_Toc10085"/>
      <w:bookmarkStart w:id="14" w:name="_Toc28468"/>
      <w:r>
        <w:rPr>
          <w:rFonts w:hint="eastAsia" w:ascii="黑体" w:hAnsi="黑体" w:eastAsia="黑体" w:cs="Times New Roman"/>
          <w:b w:val="0"/>
          <w:bCs w:val="0"/>
          <w:sz w:val="32"/>
          <w:szCs w:val="32"/>
          <w:lang w:val="en-US" w:eastAsia="zh-CN"/>
        </w:rPr>
        <w:t>三、评价结论和主要绩效</w:t>
      </w:r>
      <w:bookmarkEnd w:id="11"/>
      <w:bookmarkEnd w:id="12"/>
      <w:bookmarkEnd w:id="13"/>
      <w:bookmarkEnd w:id="1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1.评价结果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2022年青浦区农产品质量安全中心（动物疫病预防控制中心）部门整体支出</w:t>
      </w:r>
      <w:r>
        <w:rPr>
          <w:rFonts w:hint="eastAsia" w:ascii="仿宋" w:hAnsi="仿宋" w:eastAsia="仿宋" w:cs="仿宋"/>
          <w:b w:val="0"/>
          <w:bCs w:val="0"/>
          <w:sz w:val="32"/>
          <w:szCs w:val="32"/>
        </w:rPr>
        <w:t>得分为8</w:t>
      </w:r>
      <w:r>
        <w:rPr>
          <w:rFonts w:hint="eastAsia" w:ascii="仿宋" w:hAnsi="仿宋" w:eastAsia="仿宋" w:cs="仿宋"/>
          <w:b w:val="0"/>
          <w:bCs w:val="0"/>
          <w:sz w:val="32"/>
          <w:szCs w:val="32"/>
          <w:lang w:val="en-US" w:eastAsia="zh-CN"/>
        </w:rPr>
        <w:t>8</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38</w:t>
      </w:r>
      <w:r>
        <w:rPr>
          <w:rFonts w:hint="eastAsia" w:ascii="仿宋" w:hAnsi="仿宋" w:eastAsia="仿宋" w:cs="仿宋"/>
          <w:b w:val="0"/>
          <w:bCs w:val="0"/>
          <w:sz w:val="32"/>
          <w:szCs w:val="32"/>
        </w:rPr>
        <w:t>分，评价等级为“良”。</w:t>
      </w:r>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“决策类”指标，总分14分，得分13分，得分率为92.86%。</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“管理类”指标，总分30分，得分23.38分，得分77.93%。</w:t>
      </w:r>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“产出类”指标，总分25分，得分24分，得分率为96.00%。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color w:val="auto"/>
          <w:kern w:val="0"/>
          <w:sz w:val="32"/>
          <w:szCs w:val="32"/>
          <w:highlight w:val="none"/>
          <w:lang w:val="en-US" w:eastAsia="zh-CN" w:bidi="ar-SA"/>
        </w:rPr>
        <w:t>“效益类”指标，总分31分，得分28分，得分率为90.32%。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sz w:val="32"/>
          <w:szCs w:val="32"/>
          <w:lang w:val="en-US" w:eastAsia="zh-CN"/>
        </w:rPr>
        <w:t>2.</w:t>
      </w:r>
      <w:bookmarkStart w:id="15" w:name="_Toc28694"/>
      <w:bookmarkStart w:id="16" w:name="_Toc8335"/>
      <w:r>
        <w:rPr>
          <w:rFonts w:hint="eastAsia" w:ascii="仿宋" w:hAnsi="仿宋" w:eastAsia="仿宋" w:cs="仿宋"/>
          <w:b w:val="0"/>
          <w:bCs w:val="0"/>
          <w:color w:val="auto"/>
          <w:sz w:val="32"/>
          <w:szCs w:val="32"/>
          <w:lang w:val="en-US" w:eastAsia="zh-CN"/>
        </w:rPr>
        <w:t>主要绩效</w:t>
      </w:r>
      <w:bookmarkEnd w:id="15"/>
      <w:bookmarkEnd w:id="16"/>
    </w:p>
    <w:p>
      <w:pPr>
        <w:pStyle w:val="2"/>
        <w:keepNext w:val="0"/>
        <w:keepLines w:val="0"/>
        <w:pageBreakBefore w:val="0"/>
        <w:widowControl w:val="0"/>
        <w:numPr>
          <w:ilvl w:val="0"/>
          <w:numId w:val="0"/>
        </w:numPr>
        <w:kinsoku/>
        <w:wordWrap/>
        <w:overflowPunct/>
        <w:topLinePunct w:val="0"/>
        <w:autoSpaceDE/>
        <w:autoSpaceDN/>
        <w:bidi w:val="0"/>
        <w:adjustRightInd/>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color w:val="auto"/>
          <w:kern w:val="0"/>
          <w:sz w:val="32"/>
          <w:szCs w:val="32"/>
          <w:highlight w:val="none"/>
          <w:lang w:val="en-US" w:eastAsia="zh-CN" w:bidi="ar-SA"/>
        </w:rPr>
        <w:t>中心自2021年整合成立以来，主要围绕</w:t>
      </w:r>
      <w:r>
        <w:rPr>
          <w:rFonts w:hint="eastAsia" w:ascii="仿宋" w:hAnsi="仿宋" w:eastAsia="仿宋" w:cs="仿宋"/>
          <w:b w:val="0"/>
          <w:bCs w:val="0"/>
          <w:sz w:val="32"/>
          <w:szCs w:val="32"/>
          <w:lang w:val="en-US" w:eastAsia="zh-CN"/>
        </w:rPr>
        <w:t>农业质量安全检验检测（除水产品外）、动物疫病防控技术推广及公共卫生安全保障、绿色农产品发展3项核心职能进行科室划分促进履职。按照具体职能活动保障体系不同分别设立项目以作支撑，但在明细内容分类方面尚有优化合并空间。</w:t>
      </w:r>
    </w:p>
    <w:p>
      <w:pPr>
        <w:pStyle w:val="2"/>
        <w:keepNext w:val="0"/>
        <w:keepLines w:val="0"/>
        <w:pageBreakBefore w:val="0"/>
        <w:widowControl w:val="0"/>
        <w:numPr>
          <w:ilvl w:val="0"/>
          <w:numId w:val="0"/>
        </w:numPr>
        <w:kinsoku/>
        <w:wordWrap/>
        <w:overflowPunct/>
        <w:topLinePunct w:val="0"/>
        <w:autoSpaceDE/>
        <w:autoSpaceDN/>
        <w:bidi w:val="0"/>
        <w:adjustRightInd/>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在日常工作开展中，中心基本能够按照青浦区管理要求推进国库、预决算信息公开、财政监督、资产等管理工作的落实。但因新整合成立不久，中心在预算管理、政府采购、合同管理等内控制度的执行方面尚有欠缺。预算编制及采购方面，采购货物类项目在年初预算编制时对上年度采购情况及现有库存未能充分考量，实际实施时对采购节点及采购量的把控合理性存在欠缺。绩效管理方面，绩效目标申报及评价存在要素遗漏、质量不高等情况</w:t>
      </w:r>
      <w:r>
        <w:rPr>
          <w:rFonts w:hint="default" w:ascii="仿宋" w:hAnsi="仿宋" w:eastAsia="仿宋" w:cs="仿宋"/>
          <w:b w:val="0"/>
          <w:bCs w:val="0"/>
          <w:sz w:val="32"/>
          <w:szCs w:val="32"/>
          <w:lang w:val="en-US" w:eastAsia="zh-CN"/>
        </w:rPr>
        <w:t>。</w:t>
      </w:r>
      <w:r>
        <w:rPr>
          <w:rFonts w:hint="eastAsia" w:ascii="仿宋" w:hAnsi="仿宋" w:eastAsia="仿宋" w:cs="仿宋"/>
          <w:b w:val="0"/>
          <w:bCs w:val="0"/>
          <w:sz w:val="32"/>
          <w:szCs w:val="32"/>
          <w:lang w:val="en-US" w:eastAsia="zh-CN"/>
        </w:rPr>
        <w:t>合同管理方面，现有《合同业务管理办法》尚未得到充分落实。此外，在物资、补贴等核心业务管理及其长效机制的建设及执行方面也存在一定不足，物资管理方面，各科室管理手势尚未统一，此外受疫情客观情况及人员主观习惯等因素影响，中心在台账记录和使用顺序方面需进一步规范。补贴管理方面，未有同步建设跟踪监管机制，街镇补贴发放存在延迟。应急长效管理方面，中心现有冷库预案编制较为简略，难以应对突发故障。</w:t>
      </w:r>
    </w:p>
    <w:p>
      <w:pPr>
        <w:pStyle w:val="2"/>
        <w:pageBreakBefore w:val="0"/>
        <w:widowControl w:val="0"/>
        <w:kinsoku/>
        <w:wordWrap/>
        <w:overflowPunct/>
        <w:topLinePunct w:val="0"/>
        <w:autoSpaceDE/>
        <w:autoSpaceDN/>
        <w:bidi w:val="0"/>
        <w:adjustRightInd/>
        <w:spacing w:beforeLines="0" w:line="560" w:lineRule="exact"/>
        <w:ind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通过2022年履职，各条线完成情况较好。动物疫病防控技术推广及公共卫生安全保障方面，于上半年5月前、下半年10月前分别完成2次动物集中免疫，群体免疫密度达到90%以上，春秋防后开展集中免疫状况监测，平均免疫合格率90.71%，全年无重大疫情发生。农业质量安全检验检测（除水产品外）方面，2022年共计完成73853份蔬菜农残速测、150个区级定量监测任务、738个市农委下派任务，获证产品抽检合格率100%。绿色农产品发展方面，全区116家获证的企业证后监管和年检覆盖率100%，截至年底，绿色认证率34.50%，“金泽大米”成功申报名特优新农产品。通过单位履职，单位工作人员、街镇点位、合作社、养殖户等相关方满意度均达到90%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Times New Roman"/>
          <w:b w:val="0"/>
          <w:bCs w:val="0"/>
          <w:sz w:val="32"/>
          <w:szCs w:val="32"/>
          <w:lang w:val="en-US" w:eastAsia="zh-CN"/>
        </w:rPr>
      </w:pPr>
      <w:bookmarkStart w:id="17" w:name="_Toc15188"/>
      <w:bookmarkStart w:id="18" w:name="_Toc13620"/>
      <w:bookmarkStart w:id="19" w:name="_Toc15985"/>
      <w:bookmarkStart w:id="20" w:name="_Toc18691"/>
      <w:r>
        <w:rPr>
          <w:rFonts w:hint="eastAsia" w:ascii="黑体" w:hAnsi="黑体" w:eastAsia="黑体" w:cs="Times New Roman"/>
          <w:b w:val="0"/>
          <w:bCs w:val="0"/>
          <w:sz w:val="32"/>
          <w:szCs w:val="32"/>
          <w:lang w:val="en-US" w:eastAsia="zh-CN"/>
        </w:rPr>
        <w:t>四、主要经验及做法、存在问题和建议</w:t>
      </w:r>
      <w:bookmarkEnd w:id="17"/>
      <w:bookmarkEnd w:id="18"/>
      <w:bookmarkEnd w:id="19"/>
      <w:bookmarkEnd w:id="20"/>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hint="eastAsia" w:ascii="楷体_GB2312" w:hAnsi="楷体_GB2312" w:eastAsia="楷体_GB2312" w:cs="楷体_GB2312"/>
          <w:b w:val="0"/>
          <w:bCs w:val="0"/>
          <w:spacing w:val="-4"/>
          <w:sz w:val="32"/>
          <w:szCs w:val="32"/>
          <w:lang w:val="en-US" w:eastAsia="zh-CN"/>
        </w:rPr>
      </w:pPr>
      <w:bookmarkStart w:id="21" w:name="_Toc2572"/>
      <w:bookmarkStart w:id="22" w:name="_Toc31633"/>
      <w:bookmarkStart w:id="23" w:name="_Toc22036"/>
      <w:bookmarkStart w:id="24" w:name="_Toc25724"/>
      <w:r>
        <w:rPr>
          <w:rFonts w:hint="eastAsia" w:ascii="楷体_GB2312" w:hAnsi="楷体_GB2312" w:eastAsia="楷体_GB2312" w:cs="楷体_GB2312"/>
          <w:b w:val="0"/>
          <w:bCs w:val="0"/>
          <w:spacing w:val="-4"/>
          <w:sz w:val="32"/>
          <w:szCs w:val="32"/>
          <w:lang w:val="en-US" w:eastAsia="zh-CN"/>
        </w:rPr>
        <w:t>（一）主要经验及做法</w:t>
      </w:r>
      <w:bookmarkEnd w:id="21"/>
      <w:bookmarkEnd w:id="22"/>
      <w:bookmarkEnd w:id="23"/>
      <w:bookmarkEnd w:id="24"/>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1.坚持落实“两疫共防”原则，保障重大动物疫情零发生</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2022年</w:t>
      </w:r>
      <w:r>
        <w:rPr>
          <w:rFonts w:hint="default" w:ascii="仿宋" w:hAnsi="仿宋" w:eastAsia="仿宋" w:cs="仿宋"/>
          <w:b w:val="0"/>
          <w:bCs w:val="0"/>
          <w:sz w:val="32"/>
          <w:szCs w:val="32"/>
          <w:lang w:val="en-US" w:eastAsia="zh-CN"/>
        </w:rPr>
        <w:t>区镇二级动物疫控机构</w:t>
      </w:r>
      <w:r>
        <w:rPr>
          <w:rFonts w:hint="eastAsia" w:ascii="仿宋" w:hAnsi="仿宋" w:eastAsia="仿宋" w:cs="仿宋"/>
          <w:b w:val="0"/>
          <w:bCs w:val="0"/>
          <w:sz w:val="32"/>
          <w:szCs w:val="32"/>
          <w:lang w:val="en-US" w:eastAsia="zh-CN"/>
        </w:rPr>
        <w:t>根据上级</w:t>
      </w:r>
      <w:r>
        <w:rPr>
          <w:rFonts w:hint="default" w:ascii="仿宋" w:hAnsi="仿宋" w:eastAsia="仿宋" w:cs="仿宋"/>
          <w:b w:val="0"/>
          <w:bCs w:val="0"/>
          <w:sz w:val="32"/>
          <w:szCs w:val="32"/>
          <w:lang w:val="en-US" w:eastAsia="zh-CN"/>
        </w:rPr>
        <w:t>统筹部署，坚持新冠疫情和动物疫情“两疫同防”，积极协调当地新冠肺炎疫情防控部门，打通疫苗运输和防疫员进村堵点，并采取电话、微信、视频等方式对养殖场户开展春防宣传、指导、督查等工作，确保防疫体系正常运转。</w:t>
      </w:r>
      <w:r>
        <w:rPr>
          <w:rFonts w:hint="eastAsia" w:ascii="仿宋" w:hAnsi="仿宋" w:eastAsia="仿宋" w:cs="仿宋"/>
          <w:b w:val="0"/>
          <w:bCs w:val="0"/>
          <w:sz w:val="32"/>
          <w:szCs w:val="32"/>
          <w:lang w:val="en-US" w:eastAsia="zh-CN"/>
        </w:rPr>
        <w:t>通过单位履职，有效保障当年度区内重大动物疫情零发生，根据养殖户问卷调查，2022年畜禽疫病死亡率均控制在10%以下，其中71.43%死亡率在1%以内，养殖户满意度达到93.90%。</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2.建设农村犬狂犬病免疫信息管理平台，首创实现免疫证电子化</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为提高不断提升技术服务能力，2022年中心通过区科委项目资金支持，建立了农村犬狂犬病免疫信息管理平台，并在10个定点免疫点试点应用，已有近2000只农村犬领取狂犬病电子免疫证，在全市首创农村犬狂犬病免疫证电子化，率先实现了农村犬狂犬病免疫信息管理纸质化向电子化的转变。</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3.持续推进绿色食品认证监管工作，绿色认证率实现34.5%</w:t>
      </w:r>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2022年中心根据市农产品质量安全中心认证工作的要求，持续推进区内绿色食品的认证、监管及复查换证等相关工作，重点提升绿色食品获证企业的到期续展工作，截至2022年11月30日，已有113家企业共182个产品获得绿色食品认证，认证率34.50%，相较于2021年提高了1.61%。</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hint="default" w:ascii="楷体_GB2312" w:hAnsi="楷体_GB2312" w:eastAsia="楷体_GB2312" w:cs="楷体_GB2312"/>
          <w:b w:val="0"/>
          <w:bCs w:val="0"/>
          <w:spacing w:val="-4"/>
          <w:sz w:val="32"/>
          <w:szCs w:val="32"/>
          <w:lang w:val="en-US" w:eastAsia="zh-CN"/>
        </w:rPr>
      </w:pPr>
      <w:bookmarkStart w:id="25" w:name="_Toc12534"/>
      <w:bookmarkStart w:id="26" w:name="_Toc17334"/>
      <w:r>
        <w:rPr>
          <w:rFonts w:hint="eastAsia" w:ascii="楷体_GB2312" w:hAnsi="楷体_GB2312" w:eastAsia="楷体_GB2312" w:cs="楷体_GB2312"/>
          <w:b w:val="0"/>
          <w:bCs w:val="0"/>
          <w:spacing w:val="-4"/>
          <w:sz w:val="32"/>
          <w:szCs w:val="32"/>
          <w:lang w:val="en-US" w:eastAsia="zh-CN"/>
        </w:rPr>
        <w:t>（二）存在问题</w:t>
      </w:r>
      <w:bookmarkEnd w:id="25"/>
      <w:bookmarkEnd w:id="26"/>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1.内部控制规范建设及执行方面</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（1）预算编制及采购管理：项目分类存在优化合并空间，部分货物类项目预算编制及采购管理合理性存在不足</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项目分类方面，部分明细内容性质相似，但分属不同子项目，故存在同一合同结算采用不同子项目预算保障的情况，项目分类存在优化合并空间。采购管理方面，本次评价通过对防疫科5种动物疫苗及兽医实验室22种药品试剂台账进行梳理发现，共有14种采购需求必要合理性存在不足（约51.85%），主要存在采购节点库存结余超过剩余使用量仍进行采购、购后未使用而造成有效期虚度、采购备货量约等于或超过全年使用量等情况。此外受疫情影响区内动物规模减小，故而当年度疫苗药剂利用率较低（平均39.98%）。预算编制方面，货物类项目的预算编制主要基于上一年度执行规模适度参考区内实际养殖情况进行调整，对于现有库存以及上一年度采购需求合理性的考虑略有欠缺。</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（2）预算绩效管理：绩效目标申报指标合理明确性存在欠缺，绩效评价填录要素有所遗漏</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经梳理，绩效目标申报部分</w:t>
      </w:r>
      <w:r>
        <w:rPr>
          <w:rFonts w:hint="default" w:ascii="仿宋" w:hAnsi="仿宋" w:eastAsia="仿宋" w:cs="仿宋"/>
          <w:b w:val="0"/>
          <w:bCs w:val="0"/>
          <w:sz w:val="32"/>
          <w:szCs w:val="32"/>
          <w:lang w:val="en-US" w:eastAsia="zh-CN"/>
        </w:rPr>
        <w:t>指标</w:t>
      </w:r>
      <w:r>
        <w:rPr>
          <w:rFonts w:hint="eastAsia" w:ascii="仿宋" w:hAnsi="仿宋" w:eastAsia="仿宋" w:cs="仿宋"/>
          <w:b w:val="0"/>
          <w:bCs w:val="0"/>
          <w:sz w:val="32"/>
          <w:szCs w:val="32"/>
          <w:lang w:val="en-US" w:eastAsia="zh-CN"/>
        </w:rPr>
        <w:t>存在归类错误、</w:t>
      </w:r>
      <w:r>
        <w:rPr>
          <w:rFonts w:hint="default" w:ascii="仿宋" w:hAnsi="仿宋" w:eastAsia="仿宋" w:cs="仿宋"/>
          <w:b w:val="0"/>
          <w:bCs w:val="0"/>
          <w:sz w:val="32"/>
          <w:szCs w:val="32"/>
          <w:lang w:val="en-US" w:eastAsia="zh-CN"/>
        </w:rPr>
        <w:t>细化度及明确性欠缺</w:t>
      </w:r>
      <w:r>
        <w:rPr>
          <w:rFonts w:hint="eastAsia" w:ascii="仿宋" w:hAnsi="仿宋" w:eastAsia="仿宋" w:cs="仿宋"/>
          <w:b w:val="0"/>
          <w:bCs w:val="0"/>
          <w:sz w:val="32"/>
          <w:szCs w:val="32"/>
          <w:lang w:val="en-US" w:eastAsia="zh-CN"/>
        </w:rPr>
        <w:t>等情况</w:t>
      </w:r>
      <w:r>
        <w:rPr>
          <w:rFonts w:hint="default" w:ascii="仿宋" w:hAnsi="仿宋" w:eastAsia="仿宋" w:cs="仿宋"/>
          <w:b w:val="0"/>
          <w:bCs w:val="0"/>
          <w:sz w:val="32"/>
          <w:szCs w:val="32"/>
          <w:lang w:val="en-US" w:eastAsia="zh-CN"/>
        </w:rPr>
        <w:t>。绩效</w:t>
      </w:r>
      <w:r>
        <w:rPr>
          <w:rFonts w:hint="eastAsia" w:ascii="仿宋" w:hAnsi="仿宋" w:eastAsia="仿宋" w:cs="仿宋"/>
          <w:b w:val="0"/>
          <w:bCs w:val="0"/>
          <w:sz w:val="32"/>
          <w:szCs w:val="32"/>
          <w:lang w:val="en-US" w:eastAsia="zh-CN"/>
        </w:rPr>
        <w:t>评价方面则存在</w:t>
      </w:r>
      <w:r>
        <w:rPr>
          <w:rFonts w:hint="default" w:ascii="仿宋" w:hAnsi="仿宋" w:eastAsia="仿宋" w:cs="仿宋"/>
          <w:b w:val="0"/>
          <w:bCs w:val="0"/>
          <w:sz w:val="32"/>
          <w:szCs w:val="32"/>
          <w:lang w:val="en-US" w:eastAsia="zh-CN"/>
        </w:rPr>
        <w:t>部分要素遗漏</w:t>
      </w:r>
      <w:r>
        <w:rPr>
          <w:rFonts w:hint="eastAsia" w:ascii="仿宋" w:hAnsi="仿宋" w:eastAsia="仿宋" w:cs="仿宋"/>
          <w:b w:val="0"/>
          <w:bCs w:val="0"/>
          <w:sz w:val="32"/>
          <w:szCs w:val="32"/>
          <w:lang w:val="en-US" w:eastAsia="zh-CN"/>
        </w:rPr>
        <w:t>的情况</w:t>
      </w:r>
      <w:r>
        <w:rPr>
          <w:rFonts w:hint="default" w:ascii="仿宋" w:hAnsi="仿宋" w:eastAsia="仿宋" w:cs="仿宋"/>
          <w:b w:val="0"/>
          <w:bCs w:val="0"/>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（3）合同管理：《合同业务管理办法》未完全落实，部分要素完备合理性有所欠缺</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中心已编制《合同业务管理办法》作为纲领实施，但在落实层面存在一定欠缺。①合同归档管理：2022年尚未对合同统一编号并进行台账登记，存在1份（序号72-1.794万元）合同档案留存遗漏。②合同订立变更管理：1份（</w:t>
      </w:r>
      <w:r>
        <w:rPr>
          <w:rFonts w:hint="default" w:ascii="仿宋" w:hAnsi="仿宋" w:eastAsia="仿宋" w:cs="仿宋"/>
          <w:b w:val="0"/>
          <w:bCs w:val="0"/>
          <w:sz w:val="32"/>
          <w:szCs w:val="32"/>
          <w:lang w:val="en-US" w:eastAsia="zh-CN"/>
        </w:rPr>
        <w:t>序号2</w:t>
      </w:r>
      <w:r>
        <w:rPr>
          <w:rFonts w:hint="eastAsia" w:ascii="仿宋" w:hAnsi="仿宋" w:eastAsia="仿宋" w:cs="仿宋"/>
          <w:b w:val="0"/>
          <w:bCs w:val="0"/>
          <w:sz w:val="32"/>
          <w:szCs w:val="32"/>
          <w:lang w:val="en-US" w:eastAsia="zh-CN"/>
        </w:rPr>
        <w:t>-0.24万元）合同虽符合纸质合同签订条件，但实际</w:t>
      </w:r>
      <w:r>
        <w:rPr>
          <w:rFonts w:hint="default" w:ascii="仿宋" w:hAnsi="仿宋" w:eastAsia="仿宋" w:cs="仿宋"/>
          <w:b w:val="0"/>
          <w:bCs w:val="0"/>
          <w:sz w:val="32"/>
          <w:szCs w:val="32"/>
          <w:lang w:val="en-US" w:eastAsia="zh-CN"/>
        </w:rPr>
        <w:t>未签订，</w:t>
      </w:r>
      <w:r>
        <w:rPr>
          <w:rFonts w:hint="eastAsia" w:ascii="仿宋" w:hAnsi="仿宋" w:eastAsia="仿宋" w:cs="仿宋"/>
          <w:b w:val="0"/>
          <w:bCs w:val="0"/>
          <w:sz w:val="32"/>
          <w:szCs w:val="32"/>
          <w:lang w:val="en-US" w:eastAsia="zh-CN"/>
        </w:rPr>
        <w:t>财务凭证中亦未将采购清单作为附件留存。1份合同（序号15、16合同-2.589万元）年中按实拆分，但</w:t>
      </w:r>
      <w:r>
        <w:rPr>
          <w:rFonts w:hint="default" w:ascii="仿宋" w:hAnsi="仿宋" w:eastAsia="仿宋" w:cs="仿宋"/>
          <w:b w:val="0"/>
          <w:bCs w:val="0"/>
          <w:sz w:val="32"/>
          <w:szCs w:val="32"/>
          <w:lang w:val="en-US" w:eastAsia="zh-CN"/>
        </w:rPr>
        <w:t>档案中未</w:t>
      </w:r>
      <w:r>
        <w:rPr>
          <w:rFonts w:hint="eastAsia" w:ascii="仿宋" w:hAnsi="仿宋" w:eastAsia="仿宋" w:cs="仿宋"/>
          <w:b w:val="0"/>
          <w:bCs w:val="0"/>
          <w:sz w:val="32"/>
          <w:szCs w:val="32"/>
          <w:lang w:val="en-US" w:eastAsia="zh-CN"/>
        </w:rPr>
        <w:t>对原合同</w:t>
      </w:r>
      <w:r>
        <w:rPr>
          <w:rFonts w:hint="default" w:ascii="仿宋" w:hAnsi="仿宋" w:eastAsia="仿宋" w:cs="仿宋"/>
          <w:b w:val="0"/>
          <w:bCs w:val="0"/>
          <w:sz w:val="32"/>
          <w:szCs w:val="32"/>
          <w:lang w:val="en-US" w:eastAsia="zh-CN"/>
        </w:rPr>
        <w:t>进行作废更新。</w:t>
      </w:r>
      <w:r>
        <w:rPr>
          <w:rFonts w:hint="eastAsia" w:ascii="仿宋" w:hAnsi="仿宋" w:eastAsia="仿宋" w:cs="仿宋"/>
          <w:b w:val="0"/>
          <w:bCs w:val="0"/>
          <w:sz w:val="32"/>
          <w:szCs w:val="32"/>
          <w:lang w:val="en-US" w:eastAsia="zh-CN"/>
        </w:rPr>
        <w:t>③合同约定管理：中心77份合同中共有33份合同要素清晰、合理性略有不足（约42.86%，其中13份合同要素缺失；16份合同签订日期晚于合同服务期限；6份支付条款未与服务期限或服务质量挂钩；所有货物类合同均未对有效期最低限度等质量条款进行明确约定，报废风险存在提高的可能）。</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2.业务及长效管理机制建设及执行方面</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sz w:val="32"/>
          <w:szCs w:val="32"/>
          <w:lang w:val="en-US" w:eastAsia="zh-CN"/>
        </w:rPr>
        <w:t>（1）物资及其长效管理：机制落实有效性存在欠缺，冷库应急预案难以应对突发情况</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物资管理机制建设方面，主要涉及防疫科、兽医实验室、农产品实验室3个科室，各科室管理手势尚未统一，存在完善空间，其中农产品实验室采取定期盘查、分开记录的形式，难以实时关注库存情况。物资管理实效方面，存在台账记录不完备（疫苗台账缺少有效期、药剂台账存在报废记录登记不及时等）、准确性欠缺（疫苗来源记录与实际不符，部分疫苗种类进出台账记录与明细账内容因记录遗漏、重复记录等存在不一致的情况）、物资使用顺序未遵循先进先出原则（客观原因是部分药剂效果与剩余有效期长短相关，主观原因为实验员日常操作习惯）等。</w:t>
      </w:r>
      <w:r>
        <w:rPr>
          <w:rFonts w:hint="eastAsia" w:ascii="仿宋" w:hAnsi="仿宋" w:eastAsia="仿宋" w:cs="仿宋"/>
          <w:b w:val="0"/>
          <w:bCs w:val="0"/>
          <w:color w:val="auto"/>
          <w:kern w:val="0"/>
          <w:sz w:val="32"/>
          <w:szCs w:val="32"/>
          <w:highlight w:val="none"/>
          <w:lang w:val="en-US" w:eastAsia="zh-CN" w:bidi="ar-SA"/>
        </w:rPr>
        <w:t>物资长效管理方面，中心《冷库应急预案》对于电力供应失常的处置措施为“提早一天通知仓库管理人员”</w:t>
      </w:r>
      <w:r>
        <w:rPr>
          <w:rFonts w:hint="eastAsia" w:ascii="仿宋" w:hAnsi="仿宋" w:eastAsia="仿宋" w:cs="仿宋"/>
          <w:b w:val="0"/>
          <w:bCs w:val="0"/>
          <w:sz w:val="32"/>
          <w:szCs w:val="32"/>
          <w:lang w:val="en-US" w:eastAsia="zh-CN"/>
        </w:rPr>
        <w:t>“统一安排生物制品转移”</w:t>
      </w:r>
      <w:r>
        <w:rPr>
          <w:rFonts w:hint="eastAsia" w:ascii="仿宋" w:hAnsi="仿宋" w:eastAsia="仿宋" w:cs="仿宋"/>
          <w:b w:val="0"/>
          <w:bCs w:val="0"/>
          <w:color w:val="auto"/>
          <w:kern w:val="0"/>
          <w:sz w:val="32"/>
          <w:szCs w:val="32"/>
          <w:highlight w:val="none"/>
          <w:lang w:val="en-US" w:eastAsia="zh-CN" w:bidi="ar-SA"/>
        </w:rPr>
        <w:t>，较为简略，</w:t>
      </w:r>
      <w:r>
        <w:rPr>
          <w:rFonts w:hint="eastAsia" w:ascii="仿宋" w:hAnsi="仿宋" w:eastAsia="仿宋" w:cs="仿宋"/>
          <w:b w:val="0"/>
          <w:bCs w:val="0"/>
          <w:sz w:val="32"/>
          <w:szCs w:val="32"/>
          <w:lang w:val="en-US" w:eastAsia="zh-CN"/>
        </w:rPr>
        <w:t>可应对预知性</w:t>
      </w:r>
      <w:r>
        <w:rPr>
          <w:rFonts w:hint="default" w:ascii="仿宋" w:hAnsi="仿宋" w:eastAsia="仿宋" w:cs="仿宋"/>
          <w:b w:val="0"/>
          <w:bCs w:val="0"/>
          <w:sz w:val="32"/>
          <w:szCs w:val="32"/>
          <w:lang w:val="en-US" w:eastAsia="zh-CN"/>
        </w:rPr>
        <w:t>断电，</w:t>
      </w:r>
      <w:r>
        <w:rPr>
          <w:rFonts w:hint="eastAsia" w:ascii="仿宋" w:hAnsi="仿宋" w:eastAsia="仿宋" w:cs="仿宋"/>
          <w:b w:val="0"/>
          <w:bCs w:val="0"/>
          <w:sz w:val="32"/>
          <w:szCs w:val="32"/>
          <w:lang w:val="en-US" w:eastAsia="zh-CN"/>
        </w:rPr>
        <w:t>但对于</w:t>
      </w:r>
      <w:r>
        <w:rPr>
          <w:rFonts w:hint="default" w:ascii="仿宋" w:hAnsi="仿宋" w:eastAsia="仿宋" w:cs="仿宋"/>
          <w:b w:val="0"/>
          <w:bCs w:val="0"/>
          <w:sz w:val="32"/>
          <w:szCs w:val="32"/>
          <w:lang w:val="en-US" w:eastAsia="zh-CN"/>
        </w:rPr>
        <w:t>突发性断电</w:t>
      </w:r>
      <w:r>
        <w:rPr>
          <w:rFonts w:hint="eastAsia" w:ascii="仿宋" w:hAnsi="仿宋" w:eastAsia="仿宋" w:cs="仿宋"/>
          <w:b w:val="0"/>
          <w:bCs w:val="0"/>
          <w:sz w:val="32"/>
          <w:szCs w:val="32"/>
          <w:lang w:val="en-US" w:eastAsia="zh-CN"/>
        </w:rPr>
        <w:t>保障力度尚有欠缺</w:t>
      </w:r>
      <w:r>
        <w:rPr>
          <w:rFonts w:hint="eastAsia" w:ascii="仿宋" w:hAnsi="仿宋" w:eastAsia="仿宋" w:cs="仿宋"/>
          <w:b w:val="0"/>
          <w:bCs w:val="0"/>
          <w:color w:val="auto"/>
          <w:kern w:val="0"/>
          <w:sz w:val="32"/>
          <w:szCs w:val="32"/>
          <w:highlight w:val="none"/>
          <w:lang w:val="en-US" w:eastAsia="zh-CN" w:bidi="ar-SA"/>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（2）补贴管理：缺少跟踪监管机制，街镇执行需加强指导</w:t>
      </w:r>
    </w:p>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kern w:val="2"/>
          <w:sz w:val="32"/>
          <w:szCs w:val="32"/>
          <w:lang w:val="en-US" w:eastAsia="zh-CN" w:bidi="ar-SA"/>
        </w:rPr>
        <w:t>重大动物疫病免疫注射补贴涉及春、秋防2次补贴，中心于年中按照春防数据预估全年数量，从而下发至各街镇，但对街镇实际发放金额、发放合规性不进行追踪，管理流程完善性存在不足。街镇层面，部分例如重固镇（5800元）在补贴发放时效性方面存在延迟，需进一步加强指导。</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hint="eastAsia" w:ascii="楷体_GB2312" w:hAnsi="楷体_GB2312" w:eastAsia="楷体_GB2312" w:cs="楷体_GB2312"/>
          <w:b w:val="0"/>
          <w:bCs w:val="0"/>
          <w:spacing w:val="-4"/>
          <w:sz w:val="32"/>
          <w:szCs w:val="32"/>
          <w:lang w:val="en-US" w:eastAsia="zh-CN"/>
        </w:rPr>
      </w:pPr>
      <w:bookmarkStart w:id="27" w:name="_Toc11029"/>
      <w:bookmarkStart w:id="28" w:name="_Toc9894"/>
      <w:r>
        <w:rPr>
          <w:rFonts w:hint="eastAsia" w:ascii="楷体_GB2312" w:hAnsi="楷体_GB2312" w:eastAsia="楷体_GB2312" w:cs="楷体_GB2312"/>
          <w:b w:val="0"/>
          <w:bCs w:val="0"/>
          <w:spacing w:val="-4"/>
          <w:sz w:val="32"/>
          <w:szCs w:val="32"/>
          <w:lang w:val="en-US" w:eastAsia="zh-CN"/>
        </w:rPr>
        <w:t>（三）建议和改进措施</w:t>
      </w:r>
      <w:bookmarkEnd w:id="27"/>
      <w:bookmarkEnd w:id="28"/>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1.内部控制规范建设及执行方面</w:t>
      </w:r>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（1）预算编制及采购管理：优化项目分类，多因素考量合理化货物采购需求及预算编制</w:t>
      </w:r>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建议中心在项目分类方面，遵循一级项目匹配核心职能，二、三级明细按照实际内容划分的基础原则，进一步精简项目设置，对性质类似的明细内容进行优化合并，划分标准保持一致，避免出现二级过细、三级粗略的情况，从而便于日常操作管理（具体优化建议详见附件8）。</w:t>
      </w:r>
    </w:p>
    <w:p>
      <w:pPr>
        <w:pStyle w:val="2"/>
        <w:keepNext w:val="0"/>
        <w:keepLines w:val="0"/>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针对货物类项目，预算编制方面，建议中心充分结合库存实际、上一年度使用情况（可在物资入库时补充登记单价，便于了解全年规模）、区内实际（年度计划数、区内畜禽存栏情况），从而提高预算编制的科学合理性。项目实施过程中也需充分考虑疫苗药剂库存结余情况及实际使用需求，合理确定采购节点，对于采购量的确定，建议单位对疫情稳定后区内动物存量规模进行排摸，结合历史实施情况，对疫苗药剂基础备货下限进行排摸掌握，避免出现备货过量造成报废的情况。</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（2）预算绩效管理：加强绩效管理，提高绩效目标申报及评价质量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建议中心加强科室填报人员绩效目标编制的培训，提高绩效目标申报及评价工作的质量。</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（3）合同管理：加强合同管理，做好流程材料留存</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建议中心严格按照《合同业务管理办法》落实合同管理，做好合同统一编号、登记台账和年度档案管理，对符合条件的采购内容及时完成合同签订并按需进行合同作废更新工作。起草合同时加强梳理，务必要做到合同要素齐全、条款内容完整合理、违约责任明示等，为降低有效期过短带来的报废风险，建议中心在日后货物类合同签订时，对到货剩余有效期下限等质量条款进行补充明确。此外，针对政府采购、合同签订、验收评估等环节的流程材料做好及时留存，落实全流程管理。</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2.业务及长效管理机制建设及执行方面</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（1）物资及其长效管理：统一完善物资管理机制，充实冷库应急预案</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建议中心对各科室物资管理手势进行统一，细化管理流程，明确相关负责人，同时对流程所需台账模板进行统一。严格按照管理办法进行记录，并按照先进先出的基础原则进行领用（因有效期过短影响检测效果而未按优先顺序使用的部分进行备注说明），节省开支，降低成本，加大效能监察力度。</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在长效管理方面，建议中心对现有应急预案进行充实完善，在冷库使用过程中如遇停电、设备故障等突发事故，除第一时间报告外，需立即采取措施。例如可配置并启用备用发电机（建议不少于8小时用量），检查温度调控设备运行情况，如果冷库与备用机同时故障，可启用冷藏车进行暂时储存（该部分由单位根据实际情况进行补充落实）。</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（2）补贴管理：完善补贴跟踪管理，加强街镇操作指导</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建议中心除做好区级层面补贴的统计发放工作外，补充对街镇层面补贴发放及时性</w:t>
      </w:r>
      <w:r>
        <w:rPr>
          <w:rFonts w:hint="eastAsia" w:ascii="仿宋" w:hAnsi="仿宋" w:eastAsia="仿宋" w:cs="仿宋"/>
          <w:b w:val="0"/>
          <w:bCs w:val="0"/>
          <w:kern w:val="2"/>
          <w:sz w:val="32"/>
          <w:szCs w:val="32"/>
          <w:lang w:val="en-US" w:eastAsia="zh-CN" w:bidi="ar-SA"/>
        </w:rPr>
        <w:t>、发放合规性进行下沉监管，针对人员变动较大的街镇进行重点指导培训，避免影响正常工作的开展。</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五、结果应用</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hint="eastAsia" w:ascii="楷体_GB2312" w:hAnsi="楷体_GB2312" w:eastAsia="楷体_GB2312" w:cs="楷体_GB2312"/>
          <w:b w:val="0"/>
          <w:bCs w:val="0"/>
          <w:spacing w:val="-4"/>
          <w:sz w:val="32"/>
          <w:szCs w:val="32"/>
          <w:lang w:val="en-US" w:eastAsia="zh-CN"/>
        </w:rPr>
      </w:pPr>
      <w:r>
        <w:rPr>
          <w:rFonts w:hint="eastAsia" w:ascii="楷体_GB2312" w:hAnsi="楷体_GB2312" w:eastAsia="楷体_GB2312" w:cs="楷体_GB2312"/>
          <w:b w:val="0"/>
          <w:bCs w:val="0"/>
          <w:spacing w:val="-4"/>
          <w:sz w:val="32"/>
          <w:szCs w:val="32"/>
          <w:lang w:val="en-US" w:eastAsia="zh-CN"/>
        </w:rPr>
        <w:t>（一）内部控制规范建设及执行方面</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1.预算编制及采购管理</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在项目分类方面，进一步优化项目分类，遵循一级项目匹配核心职能，二、三级明细按照实际内容划项目分的基础原则，进一步精简项目设置，对性质类似的明细内容进行优化合并。在货物采购需求及预算编制方面，充分结合库存实际、上一年度使用情况、区内动物养殖动态变化等情况，进一步提高货物类项目采购需求及预算编制的科学合理性。</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2.预算绩效管理</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进一步加强绩效管理，提高绩效目标申报及评价质量，按照内部控制规范落实部门绩效管理，做好全过程、全覆盖的绩效监督，同时加强科室填报人员绩效目标编制培训，提高绩效目标申报及评价工作质量。</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3.合同管理</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严格按照《合同业务管理办法》落实合同管理，做好合同统一编号、登记台账和年度档案管理，对符合条件的采购内容及时完成合同签订并按需进行合同作废更新工作。规范合同起草工作，做到合同要素齐全、条款完整、文字规范、表述严谨、金额公允、付款方式合理、违约责任明示等。借助合同法律效力有效保障权益，落实合同全流程管理。</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hint="eastAsia" w:ascii="楷体_GB2312" w:hAnsi="楷体_GB2312" w:eastAsia="楷体_GB2312" w:cs="楷体_GB2312"/>
          <w:b w:val="0"/>
          <w:bCs w:val="0"/>
          <w:spacing w:val="-4"/>
          <w:sz w:val="32"/>
          <w:szCs w:val="32"/>
          <w:lang w:val="en-US" w:eastAsia="zh-CN"/>
        </w:rPr>
      </w:pPr>
      <w:r>
        <w:rPr>
          <w:rFonts w:hint="eastAsia" w:ascii="楷体_GB2312" w:hAnsi="楷体_GB2312" w:eastAsia="楷体_GB2312" w:cs="楷体_GB2312"/>
          <w:b w:val="0"/>
          <w:bCs w:val="0"/>
          <w:spacing w:val="-4"/>
          <w:sz w:val="32"/>
          <w:szCs w:val="32"/>
          <w:lang w:val="en-US" w:eastAsia="zh-CN"/>
        </w:rPr>
        <w:t>（二）业务及长效管理机制建设及执行方面</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1.物资及其长效管理</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统一各科室物资管理手势，针对采购、验收、出入库、仓管等环节的具体流程进行细化，明确相关负责人，对流程所需台账模板进行统一编制。严格按照管理办法进行记录，并按照先进先出的基础原则进行领用，加大效能监察力度。在长效管理方面，进一步完善应急预案，成立冷库应急故障小组，在冷库使用过程中如遇停电、设备故障等突发事故，按照应急预案采取应急措施。</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2.补贴管理</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完善补贴跟踪管理，做好区级层面补贴发放统计，下沉监管街镇层面补贴发放的及时性、合规性。加强街镇操作指导，针对人员变动较大的街镇进行重点指导培训。</w:t>
      </w:r>
    </w:p>
    <w:p>
      <w:pPr>
        <w:keepNext w:val="0"/>
        <w:keepLines w:val="0"/>
        <w:pageBreakBefore w:val="0"/>
        <w:kinsoku/>
        <w:wordWrap/>
        <w:overflowPunct/>
        <w:topLinePunct w:val="0"/>
        <w:autoSpaceDE/>
        <w:autoSpaceDN/>
        <w:bidi w:val="0"/>
        <w:adjustRightInd/>
        <w:snapToGrid/>
        <w:spacing w:line="560" w:lineRule="exact"/>
        <w:ind w:firstLine="624" w:firstLineChars="200"/>
        <w:textAlignment w:val="auto"/>
        <w:rPr>
          <w:rFonts w:hint="default" w:ascii="楷体_GB2312" w:hAnsi="楷体_GB2312" w:eastAsia="楷体_GB2312" w:cs="楷体_GB2312"/>
          <w:b w:val="0"/>
          <w:bCs w:val="0"/>
          <w:spacing w:val="-4"/>
          <w:sz w:val="32"/>
          <w:szCs w:val="32"/>
          <w:lang w:val="en-US" w:eastAsia="zh-CN"/>
        </w:rPr>
      </w:pPr>
      <w:bookmarkStart w:id="29" w:name="_Toc22779"/>
      <w:r>
        <w:rPr>
          <w:rFonts w:hint="eastAsia" w:ascii="楷体_GB2312" w:hAnsi="楷体_GB2312" w:eastAsia="楷体_GB2312" w:cs="楷体_GB2312"/>
          <w:b w:val="0"/>
          <w:bCs w:val="0"/>
          <w:spacing w:val="-4"/>
          <w:sz w:val="32"/>
          <w:szCs w:val="32"/>
          <w:lang w:val="en-US" w:eastAsia="zh-CN"/>
        </w:rPr>
        <w:t>（三）其他</w:t>
      </w:r>
      <w:bookmarkEnd w:id="29"/>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1.加强技术人员培训，提高履职人员技术能力。加强对合作社从业人员农产品质量安全政策宣传培训。加强神农口袋系统操作方法指导。加强监管，确保地产农产品质量安全。指导养殖场户规范使用兽药。</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2.做好公共卫生安全保障，继续加强狂犬病免疫点管理，提高犬只免疫率。加强流浪动物管理技术支持，开展流浪动物主要人畜共患病监测等工作。</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3.加强规划安排，推进检验检测机构资质认定，加强实验室检验检测水平。</w:t>
      </w:r>
    </w:p>
    <w:bookmarkEnd w:id="0"/>
    <w:bookmarkEnd w:id="1"/>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line="560" w:lineRule="exact"/>
        <w:ind w:firstLine="640" w:firstLineChars="200"/>
        <w:jc w:val="left"/>
        <w:textAlignment w:val="auto"/>
        <w:outlineLvl w:val="9"/>
        <w:rPr>
          <w:rFonts w:hint="default" w:ascii="仿宋" w:hAnsi="仿宋" w:eastAsia="仿宋" w:cs="仿宋"/>
          <w:b w:val="0"/>
          <w:bCs w:val="0"/>
          <w:sz w:val="32"/>
          <w:szCs w:val="32"/>
          <w:lang w:val="en-US" w:eastAsia="zh-CN"/>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0MTRlZTExYTAzMmZkZDU4YThlNzYzM2QzN2Y4ZjkifQ=="/>
  </w:docVars>
  <w:rsids>
    <w:rsidRoot w:val="00000000"/>
    <w:rsid w:val="08BA678C"/>
    <w:rsid w:val="0AF25245"/>
    <w:rsid w:val="0BF57492"/>
    <w:rsid w:val="0FD76FB2"/>
    <w:rsid w:val="12C21D5C"/>
    <w:rsid w:val="14742E54"/>
    <w:rsid w:val="15C652FE"/>
    <w:rsid w:val="16FE09A5"/>
    <w:rsid w:val="173020D3"/>
    <w:rsid w:val="17712AAB"/>
    <w:rsid w:val="1925722A"/>
    <w:rsid w:val="19C71575"/>
    <w:rsid w:val="19D6728A"/>
    <w:rsid w:val="1B975774"/>
    <w:rsid w:val="2193353F"/>
    <w:rsid w:val="230D0727"/>
    <w:rsid w:val="2397373D"/>
    <w:rsid w:val="2402215A"/>
    <w:rsid w:val="25637657"/>
    <w:rsid w:val="276D0A60"/>
    <w:rsid w:val="292C4F3F"/>
    <w:rsid w:val="2B5F1D4B"/>
    <w:rsid w:val="34A936A4"/>
    <w:rsid w:val="3A183BD5"/>
    <w:rsid w:val="3EB508FA"/>
    <w:rsid w:val="46F25B17"/>
    <w:rsid w:val="49575849"/>
    <w:rsid w:val="49C60B3B"/>
    <w:rsid w:val="4A724E71"/>
    <w:rsid w:val="4C6C0C46"/>
    <w:rsid w:val="4DF70B49"/>
    <w:rsid w:val="4E8A45CF"/>
    <w:rsid w:val="4F683434"/>
    <w:rsid w:val="5162725E"/>
    <w:rsid w:val="51711D0E"/>
    <w:rsid w:val="53C36E93"/>
    <w:rsid w:val="54222FEF"/>
    <w:rsid w:val="54E20E8F"/>
    <w:rsid w:val="59271254"/>
    <w:rsid w:val="59BE716F"/>
    <w:rsid w:val="5B332837"/>
    <w:rsid w:val="5B551F7B"/>
    <w:rsid w:val="5C11483E"/>
    <w:rsid w:val="5E2805EB"/>
    <w:rsid w:val="61D17137"/>
    <w:rsid w:val="62190543"/>
    <w:rsid w:val="639F3943"/>
    <w:rsid w:val="642A7EB3"/>
    <w:rsid w:val="659A6D43"/>
    <w:rsid w:val="664F4FA6"/>
    <w:rsid w:val="6698190B"/>
    <w:rsid w:val="687965D4"/>
    <w:rsid w:val="69225383"/>
    <w:rsid w:val="6AEB7F90"/>
    <w:rsid w:val="6AFE74BC"/>
    <w:rsid w:val="6CD9588D"/>
    <w:rsid w:val="6E8A1C97"/>
    <w:rsid w:val="6EFA5E46"/>
    <w:rsid w:val="73C53124"/>
    <w:rsid w:val="756240B7"/>
    <w:rsid w:val="778A5E5F"/>
    <w:rsid w:val="7AA74B27"/>
    <w:rsid w:val="7C4259D2"/>
    <w:rsid w:val="7E3638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Lines="0" w:beforeAutospacing="0" w:afterLines="0" w:afterAutospacing="0" w:line="500" w:lineRule="exact"/>
      <w:ind w:firstLine="1120" w:firstLineChars="200"/>
      <w:outlineLvl w:val="0"/>
    </w:pPr>
    <w:rPr>
      <w:rFonts w:eastAsia="黑体" w:asciiTheme="minorAscii" w:hAnsiTheme="minorAscii"/>
      <w:kern w:val="44"/>
      <w:sz w:val="32"/>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styleId="6">
    <w:name w:val="Normal Indent"/>
    <w:basedOn w:val="1"/>
    <w:unhideWhenUsed/>
    <w:qFormat/>
    <w:uiPriority w:val="99"/>
    <w:pPr>
      <w:ind w:firstLine="420"/>
    </w:pPr>
  </w:style>
  <w:style w:type="paragraph" w:styleId="7">
    <w:name w:val="annotation text"/>
    <w:basedOn w:val="1"/>
    <w:qFormat/>
    <w:uiPriority w:val="0"/>
    <w:pPr>
      <w:jc w:val="left"/>
    </w:p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otnote reference"/>
    <w:basedOn w:val="15"/>
    <w:qFormat/>
    <w:uiPriority w:val="0"/>
    <w:rPr>
      <w:vertAlign w:val="superscript"/>
    </w:rPr>
  </w:style>
  <w:style w:type="paragraph" w:customStyle="1" w:styleId="17">
    <w:name w:val="无间隔2"/>
    <w:qFormat/>
    <w:uiPriority w:val="0"/>
    <w:rPr>
      <w:rFonts w:ascii="Calibri" w:hAnsi="Calibri" w:eastAsia="宋体" w:cs="Calibri"/>
      <w:sz w:val="22"/>
      <w:szCs w:val="22"/>
      <w:lang w:val="en-US" w:eastAsia="zh-CN" w:bidi="ar-SA"/>
    </w:rPr>
  </w:style>
  <w:style w:type="character" w:customStyle="1" w:styleId="18">
    <w:name w:val="font71"/>
    <w:basedOn w:val="15"/>
    <w:qFormat/>
    <w:uiPriority w:val="0"/>
    <w:rPr>
      <w:rFonts w:hint="eastAsia" w:ascii="仿宋" w:hAnsi="仿宋" w:eastAsia="仿宋" w:cs="仿宋"/>
      <w:b/>
      <w:bCs/>
      <w:color w:val="000000"/>
      <w:sz w:val="20"/>
      <w:szCs w:val="20"/>
      <w:u w:val="none"/>
    </w:rPr>
  </w:style>
  <w:style w:type="character" w:customStyle="1" w:styleId="19">
    <w:name w:val="font31"/>
    <w:basedOn w:val="15"/>
    <w:qFormat/>
    <w:uiPriority w:val="0"/>
    <w:rPr>
      <w:rFonts w:hint="eastAsia" w:ascii="仿宋" w:hAnsi="仿宋" w:eastAsia="仿宋" w:cs="仿宋"/>
      <w:color w:val="000000"/>
      <w:sz w:val="20"/>
      <w:szCs w:val="20"/>
      <w:u w:val="none"/>
    </w:rPr>
  </w:style>
  <w:style w:type="character" w:customStyle="1" w:styleId="20">
    <w:name w:val="font51"/>
    <w:basedOn w:val="15"/>
    <w:qFormat/>
    <w:uiPriority w:val="0"/>
    <w:rPr>
      <w:rFonts w:hint="eastAsia" w:ascii="仿宋" w:hAnsi="仿宋" w:eastAsia="仿宋" w:cs="仿宋"/>
      <w:color w:val="000000"/>
      <w:sz w:val="20"/>
      <w:szCs w:val="20"/>
      <w:u w:val="none"/>
    </w:r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 w:type="paragraph" w:customStyle="1" w:styleId="23">
    <w:name w:val="摘要"/>
    <w:basedOn w:val="1"/>
    <w:qFormat/>
    <w:uiPriority w:val="0"/>
    <w:pPr>
      <w:spacing w:line="500" w:lineRule="exact"/>
      <w:jc w:val="center"/>
      <w:outlineLvl w:val="0"/>
    </w:pPr>
    <w:rPr>
      <w:rFonts w:hint="eastAsia" w:ascii="方正小标宋简体" w:hAnsi="方正小标宋简体" w:eastAsia="方正小标宋简体"/>
      <w:sz w:val="44"/>
      <w:szCs w:val="44"/>
    </w:rPr>
  </w:style>
  <w:style w:type="character" w:customStyle="1" w:styleId="24">
    <w:name w:val="font11"/>
    <w:basedOn w:val="15"/>
    <w:qFormat/>
    <w:uiPriority w:val="0"/>
    <w:rPr>
      <w:rFonts w:hint="eastAsia"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210</Pages>
  <Words>108750</Words>
  <Characters>120772</Characters>
  <Lines>0</Lines>
  <Paragraphs>0</Paragraphs>
  <TotalTime>0</TotalTime>
  <ScaleCrop>false</ScaleCrop>
  <LinksUpToDate>false</LinksUpToDate>
  <CharactersWithSpaces>122226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2023-03-06T07:51:00Z</dcterms:created>
  <dc:creator>生于微末</dc:creator>
  <cp:lastModifiedBy>Administrator</cp:lastModifiedBy>
  <cp:lastPrinted>2023-05-31T05:36:00Z</cp:lastPrinted>
  <dcterms:modified xsi:type="dcterms:W3CDTF">2024-01-08T08:53:04Z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4D7A31E9E03F4B91B3FC134B30039044</vt:lpwstr>
  </property>
</Properties>
</file>