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rPr>
        <w:t>2022年青浦区人民政府盈浦街道办事处部门整体支出</w:t>
      </w:r>
      <w:r>
        <w:rPr>
          <w:rFonts w:hint="eastAsia" w:ascii="方正小标宋简体" w:hAnsi="方正小标宋简体" w:eastAsia="方正小标宋简体" w:cs="方正小标宋简体"/>
          <w:b w:val="0"/>
          <w:bCs w:val="0"/>
          <w:sz w:val="44"/>
          <w:szCs w:val="44"/>
          <w:lang w:eastAsia="zh-CN"/>
        </w:rPr>
        <w:t>绩效评价结果信息</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Times New Roman"/>
          <w:b w:val="0"/>
          <w:bCs w:val="0"/>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cs="Times New Roman"/>
          <w:b w:val="0"/>
          <w:bCs w:val="0"/>
          <w:sz w:val="32"/>
          <w:szCs w:val="32"/>
        </w:rPr>
      </w:pPr>
      <w:r>
        <w:rPr>
          <w:rFonts w:hint="eastAsia" w:ascii="黑体" w:hAnsi="黑体" w:eastAsia="黑体" w:cs="Times New Roman"/>
          <w:b w:val="0"/>
          <w:bCs w:val="0"/>
          <w:sz w:val="32"/>
          <w:szCs w:val="32"/>
        </w:rPr>
        <w:t>一、部门基本情况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b w:val="0"/>
          <w:bCs w:val="0"/>
          <w:sz w:val="32"/>
          <w:szCs w:val="32"/>
        </w:rPr>
      </w:pPr>
      <w:r>
        <w:rPr>
          <w:rFonts w:hint="eastAsia" w:ascii="Times New Roman" w:hAnsi="Times New Roman" w:eastAsia="仿宋_GB2312" w:cs="Times New Roman"/>
          <w:b w:val="0"/>
          <w:bCs w:val="0"/>
          <w:sz w:val="32"/>
          <w:szCs w:val="32"/>
        </w:rPr>
        <w:t>盈浦街道办事处是青浦区人民政府的派出机关，内设党政办公室、社区党建办公室等8个机构，下属社区党群服务中心、社区事务受理服务中心（退役军人服务站）等6个事业单位。主要围绕党的建设开展宣传思想、精神文明建设和统一战线工作，围绕社区管理开展社区综合管理和监督专业管理工作，围绕社区服务开展健康促进、医疗保障、就业和劳动保障、环境卫生等与社会事业发展相关的工作，围绕社区平安开展社会治安综合治理和信访维稳等工作，围绕社区自治开展基层自治、村居建设等工作，围绕社区发展开展优化营商环境、统筹社区发展的工作。截至2022年年底，部门行政编制核定82人，实际在岗77人；事业编制核定122人，实际在岗91人；社工编制核定407人，实际在岗367人；另有711非编工勤人员在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b w:val="0"/>
          <w:bCs w:val="0"/>
          <w:sz w:val="32"/>
          <w:szCs w:val="32"/>
        </w:rPr>
      </w:pPr>
      <w:r>
        <w:rPr>
          <w:rFonts w:hint="eastAsia" w:ascii="Times New Roman" w:hAnsi="Times New Roman" w:eastAsia="仿宋_GB2312" w:cs="Times New Roman"/>
          <w:b w:val="0"/>
          <w:bCs w:val="0"/>
          <w:sz w:val="32"/>
          <w:szCs w:val="32"/>
        </w:rPr>
        <w:t>2</w:t>
      </w:r>
      <w:r>
        <w:rPr>
          <w:rFonts w:ascii="Times New Roman" w:hAnsi="Times New Roman" w:eastAsia="仿宋_GB2312" w:cs="Times New Roman"/>
          <w:b w:val="0"/>
          <w:bCs w:val="0"/>
          <w:sz w:val="32"/>
          <w:szCs w:val="32"/>
        </w:rPr>
        <w:t>022</w:t>
      </w:r>
      <w:r>
        <w:rPr>
          <w:rFonts w:hint="eastAsia" w:ascii="Times New Roman" w:hAnsi="Times New Roman" w:eastAsia="仿宋_GB2312" w:cs="Times New Roman"/>
          <w:b w:val="0"/>
          <w:bCs w:val="0"/>
          <w:sz w:val="32"/>
          <w:szCs w:val="32"/>
        </w:rPr>
        <w:t>年部门计划开展履职工作242项，其中重点工作2</w:t>
      </w:r>
      <w:r>
        <w:rPr>
          <w:rFonts w:ascii="Times New Roman" w:hAnsi="Times New Roman" w:eastAsia="仿宋_GB2312" w:cs="Times New Roman"/>
          <w:b w:val="0"/>
          <w:bCs w:val="0"/>
          <w:sz w:val="32"/>
          <w:szCs w:val="32"/>
        </w:rPr>
        <w:t>0</w:t>
      </w:r>
      <w:r>
        <w:rPr>
          <w:rFonts w:hint="eastAsia" w:ascii="Times New Roman" w:hAnsi="Times New Roman" w:eastAsia="仿宋_GB2312" w:cs="Times New Roman"/>
          <w:b w:val="0"/>
          <w:bCs w:val="0"/>
          <w:sz w:val="32"/>
          <w:szCs w:val="32"/>
        </w:rPr>
        <w:t>项。重点工作和目标如下：党的建设方面，完成2022年盈浦街道社区党群服务中心体系功能建设工程、党建服务中心规范化建设经费补贴2项工作，完善党群阵地布局，实现党群阵地覆盖全部村居；社区管理方面，完成老城厢改造项目、年度房屋征收、农民相对集中居住、违法用地综合整治</w:t>
      </w:r>
      <w:r>
        <w:rPr>
          <w:rFonts w:ascii="Times New Roman" w:hAnsi="Times New Roman" w:eastAsia="仿宋_GB2312" w:cs="Times New Roman"/>
          <w:b w:val="0"/>
          <w:bCs w:val="0"/>
          <w:sz w:val="32"/>
          <w:szCs w:val="32"/>
        </w:rPr>
        <w:t>4</w:t>
      </w:r>
      <w:r>
        <w:rPr>
          <w:rFonts w:hint="eastAsia" w:ascii="Times New Roman" w:hAnsi="Times New Roman" w:eastAsia="仿宋_GB2312" w:cs="Times New Roman"/>
          <w:b w:val="0"/>
          <w:bCs w:val="0"/>
          <w:sz w:val="32"/>
          <w:szCs w:val="32"/>
        </w:rPr>
        <w:t>项工作，实现土地减量化立项面积10公顷，验收面积5公顷；社区服务方面，完成社区中心建设、2022年盈浦街道漕盈社区老年人日间照料服务中心项目、既有多层住宅加装电梯、残疾人保障及帮困、社会保障、社会救助工作、提升促进就业质量6项工作，实现幸福社区覆盖全部村居、新增就业人数达到区级下达指标1450人；社区平安方面，完成“平安屋”建设、“一网统管”、提升来沪人员信息质量、执法办案4项工作，实现联勤联动事项结案率达85%以上、一网统管覆盖率达到76%、来沪人员信息质量达到95%、案卷达标率100%；社区自治方面，完成业委会规范化运作评价、放心物业2项工作，实现考核达标物业数量较2021年增长；社区发展方面，完成企业服务、产业结构调整2项工作，实现产业结构调整企业2家、调整面积10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b w:val="0"/>
          <w:bCs w:val="0"/>
          <w:sz w:val="32"/>
          <w:szCs w:val="32"/>
        </w:rPr>
      </w:pPr>
      <w:r>
        <w:rPr>
          <w:rFonts w:hint="eastAsia" w:ascii="Times New Roman" w:hAnsi="Times New Roman" w:eastAsia="仿宋_GB2312" w:cs="Times New Roman"/>
          <w:b w:val="0"/>
          <w:bCs w:val="0"/>
          <w:sz w:val="32"/>
          <w:szCs w:val="32"/>
        </w:rPr>
        <w:t>2022年部门年初预算32125.80万元，包括基本支出预算14427.97万元（占比44.91%）、项目支出预算17697.83万元（占比55.09%），经费来源为区级财政资金（一般公共预算财政拨款）、政府性基金预算财政拨款和其他收入（本级横向转拨财政款）。年中预算调增13414.95万元（基本支出预算调增917.53万元，项目支出预算调增12497.42万元），预算调整率41.76%，剔除疫情项目后预算调整率为24.18%（基本支出预算调整率为6.36%，项目支出预算调整率为70.62%，剔除疫情项目后项目支出预算调整率为38.70%）；调整后全年预算45540.75万元，实际支出44696.66万元（基本支出预算执行15084.94万元，项目支出预算执行29611.72万元），预算执行率为98.15</w:t>
      </w:r>
      <w:r>
        <w:rPr>
          <w:rFonts w:ascii="Times New Roman" w:hAnsi="Times New Roman" w:eastAsia="仿宋_GB2312" w:cs="Times New Roman"/>
          <w:b w:val="0"/>
          <w:bCs w:val="0"/>
          <w:sz w:val="32"/>
          <w:szCs w:val="32"/>
        </w:rPr>
        <w:t>%</w:t>
      </w:r>
      <w:r>
        <w:rPr>
          <w:rFonts w:hint="eastAsia" w:ascii="Times New Roman" w:hAnsi="Times New Roman" w:eastAsia="仿宋_GB2312" w:cs="Times New Roman"/>
          <w:b w:val="0"/>
          <w:bCs w:val="0"/>
          <w:sz w:val="32"/>
          <w:szCs w:val="32"/>
        </w:rPr>
        <w:t>（基本支出预算执行率为98.30%，项目支出预算执行率为98.07%）。</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Times New Roman"/>
          <w:b w:val="0"/>
          <w:bCs w:val="0"/>
          <w:sz w:val="32"/>
          <w:szCs w:val="32"/>
        </w:rPr>
      </w:pPr>
      <w:r>
        <w:rPr>
          <w:rFonts w:hint="eastAsia" w:ascii="黑体" w:hAnsi="黑体" w:eastAsia="黑体" w:cs="Times New Roman"/>
          <w:b w:val="0"/>
          <w:bCs w:val="0"/>
          <w:sz w:val="32"/>
          <w:szCs w:val="32"/>
        </w:rPr>
        <w:t>二、评价工作开展情况</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eastAsia="仿宋_GB2312" w:cs="Times New Roman"/>
          <w:b w:val="0"/>
          <w:bCs w:val="0"/>
          <w:sz w:val="32"/>
          <w:szCs w:val="32"/>
        </w:rPr>
      </w:pPr>
      <w:bookmarkStart w:id="0" w:name="_GoBack"/>
      <w:r>
        <w:rPr>
          <w:rFonts w:hint="eastAsia" w:ascii="Times New Roman" w:hAnsi="Times New Roman" w:eastAsia="仿宋_GB2312" w:cs="Times New Roman"/>
          <w:b/>
          <w:bCs/>
          <w:sz w:val="32"/>
          <w:szCs w:val="32"/>
        </w:rPr>
        <w:t>上海科技咨询有限公司</w:t>
      </w:r>
      <w:bookmarkEnd w:id="0"/>
      <w:r>
        <w:rPr>
          <w:rFonts w:hint="eastAsia" w:ascii="Times New Roman" w:hAnsi="Times New Roman" w:eastAsia="仿宋_GB2312" w:cs="Times New Roman"/>
          <w:b w:val="0"/>
          <w:bCs w:val="0"/>
          <w:sz w:val="32"/>
          <w:szCs w:val="32"/>
          <w:lang w:eastAsia="zh-CN"/>
        </w:rPr>
        <w:t>受托实施</w:t>
      </w:r>
      <w:r>
        <w:rPr>
          <w:rFonts w:hint="eastAsia" w:ascii="Times New Roman" w:hAnsi="Times New Roman" w:eastAsia="仿宋_GB2312" w:cs="Times New Roman"/>
          <w:b w:val="0"/>
          <w:bCs w:val="0"/>
          <w:sz w:val="32"/>
          <w:szCs w:val="32"/>
        </w:rPr>
        <w:t>本次整体支出评价</w:t>
      </w:r>
      <w:r>
        <w:rPr>
          <w:rFonts w:hint="eastAsia" w:ascii="Times New Roman" w:hAnsi="Times New Roman" w:eastAsia="仿宋_GB2312" w:cs="Times New Roman"/>
          <w:b w:val="0"/>
          <w:bCs w:val="0"/>
          <w:sz w:val="32"/>
          <w:szCs w:val="32"/>
          <w:lang w:eastAsia="zh-CN"/>
        </w:rPr>
        <w:t>，</w:t>
      </w:r>
      <w:r>
        <w:rPr>
          <w:rFonts w:hint="eastAsia" w:ascii="Times New Roman" w:hAnsi="Times New Roman" w:eastAsia="仿宋_GB2312" w:cs="Times New Roman"/>
          <w:b w:val="0"/>
          <w:bCs w:val="0"/>
          <w:sz w:val="32"/>
          <w:szCs w:val="32"/>
        </w:rPr>
        <w:t>主要“立足部门六个核心职能活动，梳理重点工作和项目，关注部门资金安排合理性，考察重点工作和项目完成程度，反映部门履职目标达成情况”。在此基础上，重点关注部门履职目标实现程度、部门预算安排、测算和调整合理性以及购买服务合理性等。围绕上述评价思路和评价重点，评价组经过基础调研，对部门绩效目标、内部管理、工作计划梳理后，构建了评价方案、评价指标体系及评分标准，并经专家评审程序后通过数据采集、现场核查、问卷调查等方式，最终完成2022年盈浦街道办事处部门整体支出绩效评价报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Times New Roman"/>
          <w:b w:val="0"/>
          <w:bCs w:val="0"/>
          <w:sz w:val="32"/>
          <w:szCs w:val="32"/>
        </w:rPr>
      </w:pPr>
      <w:r>
        <w:rPr>
          <w:rFonts w:hint="eastAsia" w:ascii="黑体" w:hAnsi="黑体" w:eastAsia="黑体" w:cs="Times New Roman"/>
          <w:b w:val="0"/>
          <w:bCs w:val="0"/>
          <w:sz w:val="32"/>
          <w:szCs w:val="32"/>
        </w:rPr>
        <w:t>三、评价结论和主要绩效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b w:val="0"/>
          <w:bCs w:val="0"/>
          <w:sz w:val="32"/>
          <w:szCs w:val="32"/>
        </w:rPr>
      </w:pPr>
      <w:r>
        <w:rPr>
          <w:rFonts w:hint="eastAsia" w:ascii="Times New Roman" w:hAnsi="Times New Roman" w:eastAsia="仿宋_GB2312" w:cs="Times New Roman"/>
          <w:b w:val="0"/>
          <w:bCs w:val="0"/>
          <w:sz w:val="32"/>
          <w:szCs w:val="32"/>
        </w:rPr>
        <w:t>（一）评价结论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楷体_GB2312" w:eastAsia="仿宋_GB2312" w:cs="楷体_GB2312"/>
          <w:b w:val="0"/>
          <w:bCs w:val="0"/>
          <w:sz w:val="32"/>
          <w:szCs w:val="32"/>
        </w:rPr>
      </w:pPr>
      <w:r>
        <w:rPr>
          <w:rFonts w:hint="eastAsia" w:ascii="仿宋_GB2312" w:hAnsi="楷体_GB2312" w:eastAsia="仿宋_GB2312" w:cs="楷体_GB2312"/>
          <w:b w:val="0"/>
          <w:bCs w:val="0"/>
          <w:sz w:val="32"/>
          <w:szCs w:val="32"/>
        </w:rPr>
        <w:t>盈浦街道办事处</w:t>
      </w:r>
      <w:r>
        <w:rPr>
          <w:rFonts w:hint="eastAsia" w:ascii="Times New Roman" w:hAnsi="Times New Roman" w:eastAsia="仿宋_GB2312" w:cs="楷体_GB2312"/>
          <w:b w:val="0"/>
          <w:bCs w:val="0"/>
          <w:sz w:val="32"/>
          <w:szCs w:val="32"/>
        </w:rPr>
        <w:t>2022</w:t>
      </w:r>
      <w:r>
        <w:rPr>
          <w:rFonts w:hint="eastAsia" w:ascii="仿宋_GB2312" w:hAnsi="楷体_GB2312" w:eastAsia="仿宋_GB2312" w:cs="楷体_GB2312"/>
          <w:b w:val="0"/>
          <w:bCs w:val="0"/>
          <w:sz w:val="32"/>
          <w:szCs w:val="32"/>
        </w:rPr>
        <w:t>年整体支出绩效评价得分为</w:t>
      </w:r>
      <w:r>
        <w:rPr>
          <w:rFonts w:hint="eastAsia" w:ascii="Times New Roman" w:hAnsi="Times New Roman" w:eastAsia="仿宋_GB2312" w:cs="楷体_GB2312"/>
          <w:b w:val="0"/>
          <w:bCs w:val="0"/>
          <w:sz w:val="32"/>
          <w:szCs w:val="32"/>
        </w:rPr>
        <w:t>87</w:t>
      </w:r>
      <w:r>
        <w:rPr>
          <w:rFonts w:hint="eastAsia" w:ascii="仿宋_GB2312" w:hAnsi="楷体_GB2312" w:eastAsia="仿宋_GB2312" w:cs="楷体_GB2312"/>
          <w:b w:val="0"/>
          <w:bCs w:val="0"/>
          <w:sz w:val="32"/>
          <w:szCs w:val="32"/>
        </w:rPr>
        <w:t>.</w:t>
      </w:r>
      <w:r>
        <w:rPr>
          <w:rFonts w:hint="eastAsia" w:ascii="Times New Roman" w:hAnsi="Times New Roman" w:eastAsia="仿宋_GB2312" w:cs="楷体_GB2312"/>
          <w:b w:val="0"/>
          <w:bCs w:val="0"/>
          <w:sz w:val="32"/>
          <w:szCs w:val="32"/>
        </w:rPr>
        <w:t>24</w:t>
      </w:r>
      <w:r>
        <w:rPr>
          <w:rFonts w:hint="eastAsia" w:ascii="仿宋_GB2312" w:hAnsi="楷体_GB2312" w:eastAsia="仿宋_GB2312" w:cs="楷体_GB2312"/>
          <w:b w:val="0"/>
          <w:bCs w:val="0"/>
          <w:sz w:val="32"/>
          <w:szCs w:val="32"/>
        </w:rPr>
        <w:t>分，评价等级为“良”。其中，部门决策类指标权重共</w:t>
      </w:r>
      <w:r>
        <w:rPr>
          <w:rFonts w:hint="eastAsia" w:ascii="Times New Roman" w:hAnsi="Times New Roman" w:eastAsia="仿宋_GB2312" w:cs="楷体_GB2312"/>
          <w:b w:val="0"/>
          <w:bCs w:val="0"/>
          <w:sz w:val="32"/>
          <w:szCs w:val="32"/>
        </w:rPr>
        <w:t>12</w:t>
      </w:r>
      <w:r>
        <w:rPr>
          <w:rFonts w:hint="eastAsia" w:ascii="仿宋_GB2312" w:hAnsi="楷体_GB2312" w:eastAsia="仿宋_GB2312" w:cs="楷体_GB2312"/>
          <w:b w:val="0"/>
          <w:bCs w:val="0"/>
          <w:sz w:val="32"/>
          <w:szCs w:val="32"/>
        </w:rPr>
        <w:t>分，得</w:t>
      </w:r>
      <w:r>
        <w:rPr>
          <w:rFonts w:hint="eastAsia" w:ascii="Times New Roman" w:hAnsi="Times New Roman" w:eastAsia="仿宋_GB2312" w:cs="楷体_GB2312"/>
          <w:b w:val="0"/>
          <w:bCs w:val="0"/>
          <w:sz w:val="32"/>
          <w:szCs w:val="32"/>
        </w:rPr>
        <w:t>8</w:t>
      </w:r>
      <w:r>
        <w:rPr>
          <w:rFonts w:hint="eastAsia" w:ascii="仿宋_GB2312" w:hAnsi="楷体_GB2312" w:eastAsia="仿宋_GB2312" w:cs="楷体_GB2312"/>
          <w:b w:val="0"/>
          <w:bCs w:val="0"/>
          <w:sz w:val="32"/>
          <w:szCs w:val="32"/>
        </w:rPr>
        <w:t>分，得分率为</w:t>
      </w:r>
      <w:r>
        <w:rPr>
          <w:rFonts w:hint="eastAsia" w:ascii="Times New Roman" w:hAnsi="Times New Roman" w:eastAsia="仿宋_GB2312" w:cs="楷体_GB2312"/>
          <w:b w:val="0"/>
          <w:bCs w:val="0"/>
          <w:sz w:val="32"/>
          <w:szCs w:val="32"/>
        </w:rPr>
        <w:t>66</w:t>
      </w:r>
      <w:r>
        <w:rPr>
          <w:rFonts w:hint="eastAsia" w:ascii="仿宋_GB2312" w:hAnsi="楷体_GB2312" w:eastAsia="仿宋_GB2312" w:cs="楷体_GB2312"/>
          <w:b w:val="0"/>
          <w:bCs w:val="0"/>
          <w:sz w:val="32"/>
          <w:szCs w:val="32"/>
        </w:rPr>
        <w:t>.</w:t>
      </w:r>
      <w:r>
        <w:rPr>
          <w:rFonts w:hint="eastAsia" w:ascii="Times New Roman" w:hAnsi="Times New Roman" w:eastAsia="仿宋_GB2312" w:cs="楷体_GB2312"/>
          <w:b w:val="0"/>
          <w:bCs w:val="0"/>
          <w:sz w:val="32"/>
          <w:szCs w:val="32"/>
        </w:rPr>
        <w:t>67</w:t>
      </w:r>
      <w:r>
        <w:rPr>
          <w:rFonts w:hint="eastAsia" w:ascii="仿宋_GB2312" w:hAnsi="楷体_GB2312" w:eastAsia="仿宋_GB2312" w:cs="楷体_GB2312"/>
          <w:b w:val="0"/>
          <w:bCs w:val="0"/>
          <w:sz w:val="32"/>
          <w:szCs w:val="32"/>
        </w:rPr>
        <w:t>%；部门管理类指标权重共</w:t>
      </w:r>
      <w:r>
        <w:rPr>
          <w:rFonts w:hint="eastAsia" w:ascii="Times New Roman" w:hAnsi="Times New Roman" w:eastAsia="仿宋_GB2312" w:cs="楷体_GB2312"/>
          <w:b w:val="0"/>
          <w:bCs w:val="0"/>
          <w:sz w:val="32"/>
          <w:szCs w:val="32"/>
        </w:rPr>
        <w:t>25</w:t>
      </w:r>
      <w:r>
        <w:rPr>
          <w:rFonts w:hint="eastAsia" w:ascii="仿宋_GB2312" w:hAnsi="楷体_GB2312" w:eastAsia="仿宋_GB2312" w:cs="楷体_GB2312"/>
          <w:b w:val="0"/>
          <w:bCs w:val="0"/>
          <w:sz w:val="32"/>
          <w:szCs w:val="32"/>
        </w:rPr>
        <w:t>分，得</w:t>
      </w:r>
      <w:r>
        <w:rPr>
          <w:rFonts w:hint="eastAsia" w:ascii="Times New Roman" w:hAnsi="Times New Roman" w:eastAsia="仿宋_GB2312" w:cs="楷体_GB2312"/>
          <w:b w:val="0"/>
          <w:bCs w:val="0"/>
          <w:sz w:val="32"/>
          <w:szCs w:val="32"/>
        </w:rPr>
        <w:t>20</w:t>
      </w:r>
      <w:r>
        <w:rPr>
          <w:rFonts w:hint="eastAsia" w:ascii="仿宋_GB2312" w:hAnsi="楷体_GB2312" w:eastAsia="仿宋_GB2312" w:cs="楷体_GB2312"/>
          <w:b w:val="0"/>
          <w:bCs w:val="0"/>
          <w:sz w:val="32"/>
          <w:szCs w:val="32"/>
        </w:rPr>
        <w:t>.</w:t>
      </w:r>
      <w:r>
        <w:rPr>
          <w:rFonts w:hint="eastAsia" w:ascii="Times New Roman" w:hAnsi="Times New Roman" w:eastAsia="仿宋_GB2312" w:cs="楷体_GB2312"/>
          <w:b w:val="0"/>
          <w:bCs w:val="0"/>
          <w:sz w:val="32"/>
          <w:szCs w:val="32"/>
        </w:rPr>
        <w:t>87</w:t>
      </w:r>
      <w:r>
        <w:rPr>
          <w:rFonts w:hint="eastAsia" w:ascii="仿宋_GB2312" w:hAnsi="楷体_GB2312" w:eastAsia="仿宋_GB2312" w:cs="楷体_GB2312"/>
          <w:b w:val="0"/>
          <w:bCs w:val="0"/>
          <w:sz w:val="32"/>
          <w:szCs w:val="32"/>
        </w:rPr>
        <w:t>分，得分率为</w:t>
      </w:r>
      <w:r>
        <w:rPr>
          <w:rFonts w:hint="eastAsia" w:ascii="Times New Roman" w:hAnsi="Times New Roman" w:eastAsia="仿宋_GB2312" w:cs="楷体_GB2312"/>
          <w:b w:val="0"/>
          <w:bCs w:val="0"/>
          <w:sz w:val="32"/>
          <w:szCs w:val="32"/>
        </w:rPr>
        <w:t>83</w:t>
      </w:r>
      <w:r>
        <w:rPr>
          <w:rFonts w:hint="eastAsia" w:ascii="仿宋_GB2312" w:hAnsi="楷体_GB2312" w:eastAsia="仿宋_GB2312" w:cs="楷体_GB2312"/>
          <w:b w:val="0"/>
          <w:bCs w:val="0"/>
          <w:sz w:val="32"/>
          <w:szCs w:val="32"/>
        </w:rPr>
        <w:t>.</w:t>
      </w:r>
      <w:r>
        <w:rPr>
          <w:rFonts w:hint="eastAsia" w:ascii="Times New Roman" w:hAnsi="Times New Roman" w:eastAsia="仿宋_GB2312" w:cs="楷体_GB2312"/>
          <w:b w:val="0"/>
          <w:bCs w:val="0"/>
          <w:sz w:val="32"/>
          <w:szCs w:val="32"/>
        </w:rPr>
        <w:t>48</w:t>
      </w:r>
      <w:r>
        <w:rPr>
          <w:rFonts w:hint="eastAsia" w:ascii="仿宋_GB2312" w:hAnsi="楷体_GB2312" w:eastAsia="仿宋_GB2312" w:cs="楷体_GB2312"/>
          <w:b w:val="0"/>
          <w:bCs w:val="0"/>
          <w:sz w:val="32"/>
          <w:szCs w:val="32"/>
        </w:rPr>
        <w:t>%；部门产出类指标权重共</w:t>
      </w:r>
      <w:r>
        <w:rPr>
          <w:rFonts w:hint="eastAsia" w:ascii="Times New Roman" w:hAnsi="Times New Roman" w:eastAsia="仿宋_GB2312" w:cs="楷体_GB2312"/>
          <w:b w:val="0"/>
          <w:bCs w:val="0"/>
          <w:sz w:val="32"/>
          <w:szCs w:val="32"/>
        </w:rPr>
        <w:t>30</w:t>
      </w:r>
      <w:r>
        <w:rPr>
          <w:rFonts w:hint="eastAsia" w:ascii="仿宋_GB2312" w:hAnsi="楷体_GB2312" w:eastAsia="仿宋_GB2312" w:cs="楷体_GB2312"/>
          <w:b w:val="0"/>
          <w:bCs w:val="0"/>
          <w:sz w:val="32"/>
          <w:szCs w:val="32"/>
        </w:rPr>
        <w:t>分，得</w:t>
      </w:r>
      <w:r>
        <w:rPr>
          <w:rFonts w:hint="eastAsia" w:ascii="Times New Roman" w:hAnsi="Times New Roman" w:eastAsia="仿宋_GB2312" w:cs="楷体_GB2312"/>
          <w:b w:val="0"/>
          <w:bCs w:val="0"/>
          <w:sz w:val="32"/>
          <w:szCs w:val="32"/>
        </w:rPr>
        <w:t>26</w:t>
      </w:r>
      <w:r>
        <w:rPr>
          <w:rFonts w:hint="eastAsia" w:ascii="仿宋_GB2312" w:hAnsi="楷体_GB2312" w:eastAsia="仿宋_GB2312" w:cs="楷体_GB2312"/>
          <w:b w:val="0"/>
          <w:bCs w:val="0"/>
          <w:sz w:val="32"/>
          <w:szCs w:val="32"/>
        </w:rPr>
        <w:t>.</w:t>
      </w:r>
      <w:r>
        <w:rPr>
          <w:rFonts w:hint="eastAsia" w:ascii="Times New Roman" w:hAnsi="Times New Roman" w:eastAsia="仿宋_GB2312" w:cs="楷体_GB2312"/>
          <w:b w:val="0"/>
          <w:bCs w:val="0"/>
          <w:sz w:val="32"/>
          <w:szCs w:val="32"/>
        </w:rPr>
        <w:t>66</w:t>
      </w:r>
      <w:r>
        <w:rPr>
          <w:rFonts w:hint="eastAsia" w:ascii="仿宋_GB2312" w:hAnsi="楷体_GB2312" w:eastAsia="仿宋_GB2312" w:cs="楷体_GB2312"/>
          <w:b w:val="0"/>
          <w:bCs w:val="0"/>
          <w:sz w:val="32"/>
          <w:szCs w:val="32"/>
        </w:rPr>
        <w:t>分，得分率为</w:t>
      </w:r>
      <w:r>
        <w:rPr>
          <w:rFonts w:hint="eastAsia" w:ascii="Times New Roman" w:hAnsi="Times New Roman" w:eastAsia="仿宋_GB2312" w:cs="楷体_GB2312"/>
          <w:b w:val="0"/>
          <w:bCs w:val="0"/>
          <w:sz w:val="32"/>
          <w:szCs w:val="32"/>
        </w:rPr>
        <w:t>88</w:t>
      </w:r>
      <w:r>
        <w:rPr>
          <w:rFonts w:hint="eastAsia" w:ascii="仿宋_GB2312" w:hAnsi="楷体_GB2312" w:eastAsia="仿宋_GB2312" w:cs="楷体_GB2312"/>
          <w:b w:val="0"/>
          <w:bCs w:val="0"/>
          <w:sz w:val="32"/>
          <w:szCs w:val="32"/>
        </w:rPr>
        <w:t>.</w:t>
      </w:r>
      <w:r>
        <w:rPr>
          <w:rFonts w:hint="eastAsia" w:ascii="Times New Roman" w:hAnsi="Times New Roman" w:eastAsia="仿宋_GB2312" w:cs="楷体_GB2312"/>
          <w:b w:val="0"/>
          <w:bCs w:val="0"/>
          <w:sz w:val="32"/>
          <w:szCs w:val="32"/>
        </w:rPr>
        <w:t>87</w:t>
      </w:r>
      <w:r>
        <w:rPr>
          <w:rFonts w:hint="eastAsia" w:ascii="仿宋_GB2312" w:hAnsi="楷体_GB2312" w:eastAsia="仿宋_GB2312" w:cs="楷体_GB2312"/>
          <w:b w:val="0"/>
          <w:bCs w:val="0"/>
          <w:sz w:val="32"/>
          <w:szCs w:val="32"/>
        </w:rPr>
        <w:t>%；部门效果类指标权重共</w:t>
      </w:r>
      <w:r>
        <w:rPr>
          <w:rFonts w:hint="eastAsia" w:ascii="Times New Roman" w:hAnsi="Times New Roman" w:eastAsia="仿宋_GB2312" w:cs="楷体_GB2312"/>
          <w:b w:val="0"/>
          <w:bCs w:val="0"/>
          <w:sz w:val="32"/>
          <w:szCs w:val="32"/>
        </w:rPr>
        <w:t>33</w:t>
      </w:r>
      <w:r>
        <w:rPr>
          <w:rFonts w:hint="eastAsia" w:ascii="仿宋_GB2312" w:hAnsi="楷体_GB2312" w:eastAsia="仿宋_GB2312" w:cs="楷体_GB2312"/>
          <w:b w:val="0"/>
          <w:bCs w:val="0"/>
          <w:sz w:val="32"/>
          <w:szCs w:val="32"/>
        </w:rPr>
        <w:t>分，得</w:t>
      </w:r>
      <w:r>
        <w:rPr>
          <w:rFonts w:hint="eastAsia" w:ascii="Times New Roman" w:hAnsi="Times New Roman" w:eastAsia="仿宋_GB2312" w:cs="楷体_GB2312"/>
          <w:b w:val="0"/>
          <w:bCs w:val="0"/>
          <w:sz w:val="32"/>
          <w:szCs w:val="32"/>
        </w:rPr>
        <w:t>31</w:t>
      </w:r>
      <w:r>
        <w:rPr>
          <w:rFonts w:hint="eastAsia" w:ascii="仿宋_GB2312" w:hAnsi="楷体_GB2312" w:eastAsia="仿宋_GB2312" w:cs="楷体_GB2312"/>
          <w:b w:val="0"/>
          <w:bCs w:val="0"/>
          <w:sz w:val="32"/>
          <w:szCs w:val="32"/>
        </w:rPr>
        <w:t>.</w:t>
      </w:r>
      <w:r>
        <w:rPr>
          <w:rFonts w:hint="eastAsia" w:ascii="Times New Roman" w:hAnsi="Times New Roman" w:eastAsia="仿宋_GB2312" w:cs="楷体_GB2312"/>
          <w:b w:val="0"/>
          <w:bCs w:val="0"/>
          <w:sz w:val="32"/>
          <w:szCs w:val="32"/>
        </w:rPr>
        <w:t>71</w:t>
      </w:r>
      <w:r>
        <w:rPr>
          <w:rFonts w:hint="eastAsia" w:ascii="仿宋_GB2312" w:hAnsi="楷体_GB2312" w:eastAsia="仿宋_GB2312" w:cs="楷体_GB2312"/>
          <w:b w:val="0"/>
          <w:bCs w:val="0"/>
          <w:sz w:val="32"/>
          <w:szCs w:val="32"/>
        </w:rPr>
        <w:t>分，得分率为</w:t>
      </w:r>
      <w:r>
        <w:rPr>
          <w:rFonts w:hint="eastAsia" w:ascii="Times New Roman" w:hAnsi="Times New Roman" w:eastAsia="仿宋_GB2312" w:cs="楷体_GB2312"/>
          <w:b w:val="0"/>
          <w:bCs w:val="0"/>
          <w:sz w:val="32"/>
          <w:szCs w:val="32"/>
        </w:rPr>
        <w:t>96</w:t>
      </w:r>
      <w:r>
        <w:rPr>
          <w:rFonts w:hint="eastAsia" w:ascii="仿宋_GB2312" w:hAnsi="楷体_GB2312" w:eastAsia="仿宋_GB2312" w:cs="楷体_GB2312"/>
          <w:b w:val="0"/>
          <w:bCs w:val="0"/>
          <w:sz w:val="32"/>
          <w:szCs w:val="32"/>
        </w:rPr>
        <w:t>.</w:t>
      </w:r>
      <w:r>
        <w:rPr>
          <w:rFonts w:hint="eastAsia" w:ascii="Times New Roman" w:hAnsi="Times New Roman" w:eastAsia="仿宋_GB2312" w:cs="楷体_GB2312"/>
          <w:b w:val="0"/>
          <w:bCs w:val="0"/>
          <w:sz w:val="32"/>
          <w:szCs w:val="32"/>
        </w:rPr>
        <w:t>09</w:t>
      </w:r>
      <w:r>
        <w:rPr>
          <w:rFonts w:hint="eastAsia" w:ascii="仿宋_GB2312" w:hAnsi="楷体_GB2312" w:eastAsia="仿宋_GB2312" w:cs="楷体_GB2312"/>
          <w:b w:val="0"/>
          <w:bCs w:val="0"/>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b w:val="0"/>
          <w:bCs w:val="0"/>
          <w:sz w:val="32"/>
          <w:szCs w:val="32"/>
        </w:rPr>
      </w:pPr>
      <w:r>
        <w:rPr>
          <w:rFonts w:hint="eastAsia" w:ascii="Times New Roman" w:hAnsi="Times New Roman" w:eastAsia="仿宋_GB2312" w:cs="Times New Roman"/>
          <w:b w:val="0"/>
          <w:bCs w:val="0"/>
          <w:sz w:val="32"/>
          <w:szCs w:val="32"/>
        </w:rPr>
        <w:t>（二）主要绩效情况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楷体_GB2312" w:eastAsia="仿宋_GB2312" w:cs="楷体_GB2312"/>
          <w:b w:val="0"/>
          <w:bCs w:val="0"/>
          <w:sz w:val="32"/>
          <w:szCs w:val="32"/>
        </w:rPr>
      </w:pPr>
      <w:r>
        <w:rPr>
          <w:rFonts w:hint="eastAsia" w:ascii="仿宋_GB2312" w:hAnsi="楷体_GB2312" w:eastAsia="仿宋_GB2312" w:cs="楷体_GB2312"/>
          <w:b w:val="0"/>
          <w:bCs w:val="0"/>
          <w:sz w:val="32"/>
          <w:szCs w:val="32"/>
        </w:rPr>
        <w:t>决策方面，部门根据三定等文件要求设置了内设机构和下属事业单位，并围绕“党的建设、社区管理、社区服务、社区平安、社区自治、社区发展”</w:t>
      </w:r>
      <w:r>
        <w:rPr>
          <w:rFonts w:hint="eastAsia" w:ascii="Times New Roman" w:hAnsi="Times New Roman" w:eastAsia="仿宋_GB2312" w:cs="楷体_GB2312"/>
          <w:b w:val="0"/>
          <w:bCs w:val="0"/>
          <w:sz w:val="32"/>
          <w:szCs w:val="32"/>
        </w:rPr>
        <w:t>6</w:t>
      </w:r>
      <w:r>
        <w:rPr>
          <w:rFonts w:hint="eastAsia" w:ascii="仿宋_GB2312" w:hAnsi="楷体_GB2312" w:eastAsia="仿宋_GB2312" w:cs="楷体_GB2312"/>
          <w:b w:val="0"/>
          <w:bCs w:val="0"/>
          <w:sz w:val="32"/>
          <w:szCs w:val="32"/>
        </w:rPr>
        <w:t>个核心职能，编制了年度工作计划和相应绩效目标。但部门尚未编制职能相关的十四五发展规划，核心职能活动缺少清晰量化的阶段性指导目标；已设置的年度履职目标未能完整体现核心职能活动；已制定的年度工作计划不够完整和细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楷体_GB2312" w:eastAsia="仿宋_GB2312" w:cs="楷体_GB2312"/>
          <w:b w:val="0"/>
          <w:bCs w:val="0"/>
          <w:sz w:val="32"/>
          <w:szCs w:val="32"/>
        </w:rPr>
      </w:pPr>
      <w:r>
        <w:rPr>
          <w:rFonts w:hint="eastAsia" w:ascii="仿宋_GB2312" w:hAnsi="楷体_GB2312" w:eastAsia="仿宋_GB2312" w:cs="楷体_GB2312"/>
          <w:b w:val="0"/>
          <w:bCs w:val="0"/>
          <w:sz w:val="32"/>
          <w:szCs w:val="32"/>
        </w:rPr>
        <w:t>管理方面，部门按照实有人数和定额标准落实人员经费，按照履职活动开展需求安排支撑项目，基本能够按照青浦区管理要求开展国库管理、绩效管理、预决算信息公开、财政监督管理、资产管理等工作。但部门一级项目设置数量控制不足，个别项目费用测算仍为匡算不够细化，预算调整率偏高，绩效整改不够到位，合同管理不够有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楷体_GB2312" w:eastAsia="仿宋_GB2312" w:cs="楷体_GB2312"/>
          <w:b w:val="0"/>
          <w:bCs w:val="0"/>
          <w:sz w:val="32"/>
          <w:szCs w:val="32"/>
        </w:rPr>
      </w:pPr>
      <w:r>
        <w:rPr>
          <w:rFonts w:hint="eastAsia" w:ascii="仿宋_GB2312" w:hAnsi="楷体_GB2312" w:eastAsia="仿宋_GB2312" w:cs="楷体_GB2312"/>
          <w:b w:val="0"/>
          <w:bCs w:val="0"/>
          <w:sz w:val="32"/>
          <w:szCs w:val="32"/>
        </w:rPr>
        <w:t>产出及效果方面，在党的建设方面，完成党建服务中心规范化建设经费补贴工作，实现党群阵地覆盖全部村居；在社区管理方面，完成老城厢改造工作、年度房屋征收工作、农民相对集中居住工作、违法用地整治工作，实现土地减量化立项面积</w:t>
      </w:r>
      <w:r>
        <w:rPr>
          <w:rFonts w:hint="eastAsia" w:ascii="Times New Roman" w:hAnsi="Times New Roman" w:eastAsia="仿宋_GB2312" w:cs="楷体_GB2312"/>
          <w:b w:val="0"/>
          <w:bCs w:val="0"/>
          <w:sz w:val="32"/>
          <w:szCs w:val="32"/>
        </w:rPr>
        <w:t>10</w:t>
      </w:r>
      <w:r>
        <w:rPr>
          <w:rFonts w:hint="eastAsia" w:ascii="仿宋_GB2312" w:hAnsi="楷体_GB2312" w:eastAsia="仿宋_GB2312" w:cs="楷体_GB2312"/>
          <w:b w:val="0"/>
          <w:bCs w:val="0"/>
          <w:sz w:val="32"/>
          <w:szCs w:val="32"/>
        </w:rPr>
        <w:t>公顷；在社区服务方面，完成幸福社区立项工作、残疾人保障及帮困工作、城乡低保认定退出和低保金发放工作、就业专项工作等，实现幸福社区覆盖全部村居；在社区平安方面，完成“平安屋”建设工作、联勤工作站保障工作、实有人口管理和日常案件办结工作，实现联勤联动事项结案率达</w:t>
      </w:r>
      <w:r>
        <w:rPr>
          <w:rFonts w:hint="eastAsia" w:ascii="Times New Roman" w:hAnsi="Times New Roman" w:eastAsia="仿宋_GB2312" w:cs="楷体_GB2312"/>
          <w:b w:val="0"/>
          <w:bCs w:val="0"/>
          <w:sz w:val="32"/>
          <w:szCs w:val="32"/>
        </w:rPr>
        <w:t>85</w:t>
      </w:r>
      <w:r>
        <w:rPr>
          <w:rFonts w:hint="eastAsia" w:ascii="仿宋_GB2312" w:hAnsi="楷体_GB2312" w:eastAsia="仿宋_GB2312" w:cs="楷体_GB2312"/>
          <w:b w:val="0"/>
          <w:bCs w:val="0"/>
          <w:sz w:val="32"/>
          <w:szCs w:val="32"/>
        </w:rPr>
        <w:t>%以上、一网统管覆盖率达到</w:t>
      </w:r>
      <w:r>
        <w:rPr>
          <w:rFonts w:hint="eastAsia" w:ascii="Times New Roman" w:hAnsi="Times New Roman" w:eastAsia="仿宋_GB2312" w:cs="楷体_GB2312"/>
          <w:b w:val="0"/>
          <w:bCs w:val="0"/>
          <w:sz w:val="32"/>
          <w:szCs w:val="32"/>
        </w:rPr>
        <w:t>76</w:t>
      </w:r>
      <w:r>
        <w:rPr>
          <w:rFonts w:hint="eastAsia" w:ascii="仿宋_GB2312" w:hAnsi="楷体_GB2312" w:eastAsia="仿宋_GB2312" w:cs="楷体_GB2312"/>
          <w:b w:val="0"/>
          <w:bCs w:val="0"/>
          <w:sz w:val="32"/>
          <w:szCs w:val="32"/>
        </w:rPr>
        <w:t>%以上、来沪人员信息质量达到</w:t>
      </w:r>
      <w:r>
        <w:rPr>
          <w:rFonts w:hint="eastAsia" w:ascii="Times New Roman" w:hAnsi="Times New Roman" w:eastAsia="仿宋_GB2312" w:cs="楷体_GB2312"/>
          <w:b w:val="0"/>
          <w:bCs w:val="0"/>
          <w:sz w:val="32"/>
          <w:szCs w:val="32"/>
        </w:rPr>
        <w:t>95</w:t>
      </w:r>
      <w:r>
        <w:rPr>
          <w:rFonts w:hint="eastAsia" w:ascii="仿宋_GB2312" w:hAnsi="楷体_GB2312" w:eastAsia="仿宋_GB2312" w:cs="楷体_GB2312"/>
          <w:b w:val="0"/>
          <w:bCs w:val="0"/>
          <w:sz w:val="32"/>
          <w:szCs w:val="32"/>
        </w:rPr>
        <w:t>%以上、案卷达标率达到</w:t>
      </w:r>
      <w:r>
        <w:rPr>
          <w:rFonts w:hint="eastAsia" w:ascii="Times New Roman" w:hAnsi="Times New Roman" w:eastAsia="仿宋_GB2312" w:cs="楷体_GB2312"/>
          <w:b w:val="0"/>
          <w:bCs w:val="0"/>
          <w:sz w:val="32"/>
          <w:szCs w:val="32"/>
        </w:rPr>
        <w:t>100</w:t>
      </w:r>
      <w:r>
        <w:rPr>
          <w:rFonts w:hint="eastAsia" w:ascii="仿宋_GB2312" w:hAnsi="楷体_GB2312" w:eastAsia="仿宋_GB2312" w:cs="楷体_GB2312"/>
          <w:b w:val="0"/>
          <w:bCs w:val="0"/>
          <w:sz w:val="32"/>
          <w:szCs w:val="32"/>
        </w:rPr>
        <w:t>%；在社区自治方面，完成业委会规范化运作评价、物业费收费标准评估工作，提升放心物业、分类管理水平；在社区发展方面，做好企业服务和安商稳商工作，实现产业结构调整企业</w:t>
      </w:r>
      <w:r>
        <w:rPr>
          <w:rFonts w:hint="eastAsia" w:ascii="Times New Roman" w:hAnsi="Times New Roman" w:eastAsia="仿宋_GB2312" w:cs="楷体_GB2312"/>
          <w:b w:val="0"/>
          <w:bCs w:val="0"/>
          <w:sz w:val="32"/>
          <w:szCs w:val="32"/>
        </w:rPr>
        <w:t>2</w:t>
      </w:r>
      <w:r>
        <w:rPr>
          <w:rFonts w:hint="eastAsia" w:ascii="仿宋_GB2312" w:hAnsi="楷体_GB2312" w:eastAsia="仿宋_GB2312" w:cs="楷体_GB2312"/>
          <w:b w:val="0"/>
          <w:bCs w:val="0"/>
          <w:sz w:val="32"/>
          <w:szCs w:val="32"/>
        </w:rPr>
        <w:t>家、调整面积</w:t>
      </w:r>
      <w:r>
        <w:rPr>
          <w:rFonts w:hint="eastAsia" w:ascii="Times New Roman" w:hAnsi="Times New Roman" w:eastAsia="仿宋_GB2312" w:cs="楷体_GB2312"/>
          <w:b w:val="0"/>
          <w:bCs w:val="0"/>
          <w:sz w:val="32"/>
          <w:szCs w:val="32"/>
        </w:rPr>
        <w:t>10</w:t>
      </w:r>
      <w:r>
        <w:rPr>
          <w:rFonts w:hint="eastAsia" w:ascii="仿宋_GB2312" w:hAnsi="楷体_GB2312" w:eastAsia="仿宋_GB2312" w:cs="楷体_GB2312"/>
          <w:b w:val="0"/>
          <w:bCs w:val="0"/>
          <w:sz w:val="32"/>
          <w:szCs w:val="32"/>
        </w:rPr>
        <w:t>亩。但部分工作受疫情或其他工作制约影响，未达年初既定目标。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Times New Roman"/>
          <w:b w:val="0"/>
          <w:bCs w:val="0"/>
          <w:sz w:val="32"/>
          <w:szCs w:val="32"/>
        </w:rPr>
      </w:pPr>
      <w:r>
        <w:rPr>
          <w:rFonts w:hint="eastAsia" w:ascii="黑体" w:hAnsi="黑体" w:eastAsia="黑体" w:cs="Times New Roman"/>
          <w:b w:val="0"/>
          <w:bCs w:val="0"/>
          <w:sz w:val="32"/>
          <w:szCs w:val="32"/>
        </w:rPr>
        <w:t>四、主要经验、问题和建议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b w:val="0"/>
          <w:bCs w:val="0"/>
          <w:sz w:val="32"/>
          <w:szCs w:val="32"/>
        </w:rPr>
      </w:pPr>
      <w:r>
        <w:rPr>
          <w:rFonts w:hint="eastAsia" w:ascii="Times New Roman" w:hAnsi="Times New Roman" w:eastAsia="仿宋_GB2312" w:cs="Times New Roman"/>
          <w:b w:val="0"/>
          <w:bCs w:val="0"/>
          <w:sz w:val="32"/>
          <w:szCs w:val="32"/>
        </w:rPr>
        <w:t>（一）主要经验及做法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Times New Roman" w:eastAsia="仿宋_GB2312" w:cs="Times New Roman"/>
          <w:b w:val="0"/>
          <w:bCs w:val="0"/>
          <w:sz w:val="32"/>
          <w:szCs w:val="32"/>
        </w:rPr>
      </w:pPr>
      <w:r>
        <w:rPr>
          <w:rFonts w:hint="eastAsia" w:ascii="Times New Roman" w:hAnsi="Times New Roman" w:eastAsia="仿宋_GB2312" w:cs="Times New Roman"/>
          <w:b w:val="0"/>
          <w:bCs w:val="0"/>
          <w:sz w:val="32"/>
          <w:szCs w:val="32"/>
        </w:rPr>
        <w:t>1</w:t>
      </w:r>
      <w:r>
        <w:rPr>
          <w:rFonts w:hint="eastAsia" w:ascii="仿宋_GB2312" w:hAnsi="Times New Roman" w:eastAsia="仿宋_GB2312" w:cs="Times New Roman"/>
          <w:b w:val="0"/>
          <w:bCs w:val="0"/>
          <w:sz w:val="32"/>
          <w:szCs w:val="32"/>
        </w:rPr>
        <w:t>.完善指挥机制，促进老城厢旧城区改建第一轮意愿征询顺利达标。</w:t>
      </w:r>
      <w:r>
        <w:rPr>
          <w:rFonts w:hint="eastAsia" w:ascii="Times New Roman" w:hAnsi="Times New Roman" w:eastAsia="仿宋_GB2312" w:cs="Times New Roman"/>
          <w:b w:val="0"/>
          <w:bCs w:val="0"/>
          <w:sz w:val="32"/>
          <w:szCs w:val="32"/>
        </w:rPr>
        <w:t>2022</w:t>
      </w:r>
      <w:r>
        <w:rPr>
          <w:rFonts w:hint="eastAsia" w:ascii="仿宋_GB2312" w:hAnsi="Times New Roman" w:eastAsia="仿宋_GB2312" w:cs="Times New Roman"/>
          <w:b w:val="0"/>
          <w:bCs w:val="0"/>
          <w:sz w:val="32"/>
          <w:szCs w:val="32"/>
        </w:rPr>
        <w:t>年，盈浦街道办事处聚焦城市更新实践区重点区域，加快推进老城厢城市更新，建立完善了指挥机制、激励机制以及会议制度、日报周报制度、督查制度等，抓实各项工作统筹推进，实现了非旧里预征询同意率达</w:t>
      </w:r>
      <w:r>
        <w:rPr>
          <w:rFonts w:hint="eastAsia" w:ascii="Times New Roman" w:hAnsi="Times New Roman" w:eastAsia="仿宋_GB2312" w:cs="Times New Roman"/>
          <w:b w:val="0"/>
          <w:bCs w:val="0"/>
          <w:sz w:val="32"/>
          <w:szCs w:val="32"/>
        </w:rPr>
        <w:t>98</w:t>
      </w:r>
      <w:r>
        <w:rPr>
          <w:rFonts w:hint="eastAsia" w:ascii="仿宋_GB2312" w:hAnsi="Times New Roman" w:eastAsia="仿宋_GB2312" w:cs="Times New Roman"/>
          <w:b w:val="0"/>
          <w:bCs w:val="0"/>
          <w:sz w:val="32"/>
          <w:szCs w:val="32"/>
        </w:rPr>
        <w:t>.</w:t>
      </w:r>
      <w:r>
        <w:rPr>
          <w:rFonts w:hint="eastAsia" w:ascii="Times New Roman" w:hAnsi="Times New Roman" w:eastAsia="仿宋_GB2312" w:cs="Times New Roman"/>
          <w:b w:val="0"/>
          <w:bCs w:val="0"/>
          <w:sz w:val="32"/>
          <w:szCs w:val="32"/>
        </w:rPr>
        <w:t>04</w:t>
      </w:r>
      <w:r>
        <w:rPr>
          <w:rFonts w:hint="eastAsia" w:ascii="仿宋_GB2312" w:hAnsi="Times New Roman" w:eastAsia="仿宋_GB2312" w:cs="Times New Roman"/>
          <w:b w:val="0"/>
          <w:bCs w:val="0"/>
          <w:sz w:val="32"/>
          <w:szCs w:val="32"/>
        </w:rPr>
        <w:t>%，顺利通过了市级批复老城厢旧改项目。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Times New Roman" w:eastAsia="仿宋_GB2312" w:cs="Times New Roman"/>
          <w:b w:val="0"/>
          <w:bCs w:val="0"/>
          <w:sz w:val="32"/>
          <w:szCs w:val="32"/>
        </w:rPr>
      </w:pPr>
      <w:r>
        <w:rPr>
          <w:rFonts w:hint="eastAsia" w:ascii="Times New Roman" w:hAnsi="Times New Roman" w:eastAsia="仿宋_GB2312" w:cs="Times New Roman"/>
          <w:b w:val="0"/>
          <w:bCs w:val="0"/>
          <w:sz w:val="32"/>
          <w:szCs w:val="32"/>
        </w:rPr>
        <w:t>2</w:t>
      </w:r>
      <w:r>
        <w:rPr>
          <w:rFonts w:hint="eastAsia" w:ascii="仿宋_GB2312" w:hAnsi="Times New Roman" w:eastAsia="仿宋_GB2312" w:cs="Times New Roman"/>
          <w:b w:val="0"/>
          <w:bCs w:val="0"/>
          <w:sz w:val="32"/>
          <w:szCs w:val="32"/>
        </w:rPr>
        <w:t>.善用科技赋能，着力推进数字化转型。</w:t>
      </w:r>
      <w:r>
        <w:rPr>
          <w:rFonts w:hint="eastAsia" w:ascii="Times New Roman" w:hAnsi="Times New Roman" w:eastAsia="仿宋_GB2312" w:cs="Times New Roman"/>
          <w:b w:val="0"/>
          <w:bCs w:val="0"/>
          <w:sz w:val="32"/>
          <w:szCs w:val="32"/>
        </w:rPr>
        <w:t>2022</w:t>
      </w:r>
      <w:r>
        <w:rPr>
          <w:rFonts w:hint="eastAsia" w:ascii="仿宋_GB2312" w:hAnsi="Times New Roman" w:eastAsia="仿宋_GB2312" w:cs="Times New Roman"/>
          <w:b w:val="0"/>
          <w:bCs w:val="0"/>
          <w:sz w:val="32"/>
          <w:szCs w:val="32"/>
        </w:rPr>
        <w:t>年，盈浦街道办事处依托“一网统管”平台、网格化综合管理平台，提升街面动态性问题发现、上报、处置效能，打通与其他职能部门间的信息壁垒；发挥辖区内三大联勤联动站效能，推动基层执法力量合理配置、勤务制度科学高效，初步形成全区域覆盖、响应快速、处置高效的城管执法勤务指挥体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Times New Roman" w:eastAsia="仿宋_GB2312" w:cs="Times New Roman"/>
          <w:b w:val="0"/>
          <w:bCs w:val="0"/>
          <w:sz w:val="32"/>
          <w:szCs w:val="32"/>
        </w:rPr>
      </w:pPr>
      <w:r>
        <w:rPr>
          <w:rFonts w:hint="eastAsia" w:ascii="Times New Roman" w:hAnsi="Times New Roman" w:eastAsia="仿宋_GB2312" w:cs="Times New Roman"/>
          <w:b w:val="0"/>
          <w:bCs w:val="0"/>
          <w:sz w:val="32"/>
          <w:szCs w:val="32"/>
        </w:rPr>
        <w:t>3.</w:t>
      </w:r>
      <w:r>
        <w:rPr>
          <w:rFonts w:hint="eastAsia" w:ascii="仿宋_GB2312" w:hAnsi="Times New Roman" w:eastAsia="仿宋_GB2312" w:cs="Times New Roman"/>
          <w:b w:val="0"/>
          <w:bCs w:val="0"/>
          <w:sz w:val="32"/>
          <w:szCs w:val="32"/>
        </w:rPr>
        <w:t>加强业委会培训，持续提升物业服务水平。</w:t>
      </w:r>
      <w:r>
        <w:rPr>
          <w:rFonts w:hint="eastAsia" w:ascii="Times New Roman" w:hAnsi="Times New Roman" w:eastAsia="仿宋_GB2312" w:cs="Times New Roman"/>
          <w:b w:val="0"/>
          <w:bCs w:val="0"/>
          <w:sz w:val="32"/>
          <w:szCs w:val="32"/>
        </w:rPr>
        <w:t>2022</w:t>
      </w:r>
      <w:r>
        <w:rPr>
          <w:rFonts w:hint="eastAsia" w:ascii="仿宋_GB2312" w:hAnsi="Times New Roman" w:eastAsia="仿宋_GB2312" w:cs="Times New Roman"/>
          <w:b w:val="0"/>
          <w:bCs w:val="0"/>
          <w:sz w:val="32"/>
          <w:szCs w:val="32"/>
        </w:rPr>
        <w:t>年，盈浦街道办事处举办了二期业委会“沙龙”交流会，重点对小区自治的各类热点、难点、痛点问题进行意见交流，进一步提升小区业委会自治水平，加强“三驾马车”的协作力、凝聚力。同时，继续推进小区物业评估工作，通过第三方机构专业和客观的物业服务质量评估，规范小区物业服务行为，实质提升小区物业服务水平，切实维护住宅小区业主的合法权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Times New Roman" w:eastAsia="仿宋_GB2312" w:cs="Times New Roman"/>
          <w:b w:val="0"/>
          <w:bCs w:val="0"/>
          <w:sz w:val="32"/>
          <w:szCs w:val="32"/>
        </w:rPr>
      </w:pPr>
      <w:r>
        <w:rPr>
          <w:rFonts w:hint="eastAsia" w:ascii="Times New Roman" w:hAnsi="Times New Roman" w:eastAsia="仿宋_GB2312" w:cs="Times New Roman"/>
          <w:b w:val="0"/>
          <w:bCs w:val="0"/>
          <w:sz w:val="32"/>
          <w:szCs w:val="32"/>
        </w:rPr>
        <w:t>4.</w:t>
      </w:r>
      <w:r>
        <w:rPr>
          <w:rFonts w:hint="eastAsia" w:ascii="仿宋_GB2312" w:hAnsi="Times New Roman" w:eastAsia="仿宋_GB2312" w:cs="Times New Roman"/>
          <w:b w:val="0"/>
          <w:bCs w:val="0"/>
          <w:sz w:val="32"/>
          <w:szCs w:val="32"/>
        </w:rPr>
        <w:t>强化助企纾困服务，提升营商招商水平。</w:t>
      </w:r>
      <w:r>
        <w:rPr>
          <w:rFonts w:hint="eastAsia" w:ascii="Times New Roman" w:hAnsi="Times New Roman" w:eastAsia="仿宋_GB2312" w:cs="Times New Roman"/>
          <w:b w:val="0"/>
          <w:bCs w:val="0"/>
          <w:sz w:val="32"/>
          <w:szCs w:val="32"/>
        </w:rPr>
        <w:t>2022</w:t>
      </w:r>
      <w:r>
        <w:rPr>
          <w:rFonts w:hint="eastAsia" w:ascii="仿宋_GB2312" w:hAnsi="Times New Roman" w:eastAsia="仿宋_GB2312" w:cs="Times New Roman"/>
          <w:b w:val="0"/>
          <w:bCs w:val="0"/>
          <w:sz w:val="32"/>
          <w:szCs w:val="32"/>
        </w:rPr>
        <w:t>年，盈浦街道办事处深入企业开展调研，推动“青暖”</w:t>
      </w:r>
      <w:r>
        <w:rPr>
          <w:rFonts w:hint="eastAsia" w:ascii="Times New Roman" w:hAnsi="Times New Roman" w:eastAsia="仿宋_GB2312" w:cs="Times New Roman"/>
          <w:b w:val="0"/>
          <w:bCs w:val="0"/>
          <w:sz w:val="32"/>
          <w:szCs w:val="32"/>
        </w:rPr>
        <w:t>22</w:t>
      </w:r>
      <w:r>
        <w:rPr>
          <w:rFonts w:hint="eastAsia" w:ascii="仿宋_GB2312" w:hAnsi="Times New Roman" w:eastAsia="仿宋_GB2312" w:cs="Times New Roman"/>
          <w:b w:val="0"/>
          <w:bCs w:val="0"/>
          <w:sz w:val="32"/>
          <w:szCs w:val="32"/>
        </w:rPr>
        <w:t>条、稳增长“</w:t>
      </w:r>
      <w:r>
        <w:rPr>
          <w:rFonts w:hint="eastAsia" w:ascii="Times New Roman" w:hAnsi="Times New Roman" w:eastAsia="仿宋_GB2312" w:cs="Times New Roman"/>
          <w:b w:val="0"/>
          <w:bCs w:val="0"/>
          <w:sz w:val="32"/>
          <w:szCs w:val="32"/>
        </w:rPr>
        <w:t>22</w:t>
      </w:r>
      <w:r>
        <w:rPr>
          <w:rFonts w:hint="eastAsia" w:ascii="仿宋_GB2312" w:hAnsi="Times New Roman" w:eastAsia="仿宋_GB2312" w:cs="Times New Roman"/>
          <w:b w:val="0"/>
          <w:bCs w:val="0"/>
          <w:sz w:val="32"/>
          <w:szCs w:val="32"/>
        </w:rPr>
        <w:t>条”等各项惠企政策落地见效，走访服务企业</w:t>
      </w:r>
      <w:r>
        <w:rPr>
          <w:rFonts w:hint="eastAsia" w:ascii="Times New Roman" w:hAnsi="Times New Roman" w:eastAsia="仿宋_GB2312" w:cs="Times New Roman"/>
          <w:b w:val="0"/>
          <w:bCs w:val="0"/>
          <w:sz w:val="32"/>
          <w:szCs w:val="32"/>
        </w:rPr>
        <w:t>47</w:t>
      </w:r>
      <w:r>
        <w:rPr>
          <w:rFonts w:hint="eastAsia" w:ascii="仿宋_GB2312" w:hAnsi="Times New Roman" w:eastAsia="仿宋_GB2312" w:cs="Times New Roman"/>
          <w:b w:val="0"/>
          <w:bCs w:val="0"/>
          <w:sz w:val="32"/>
          <w:szCs w:val="32"/>
        </w:rPr>
        <w:t>户，答复和解决问题</w:t>
      </w:r>
      <w:r>
        <w:rPr>
          <w:rFonts w:hint="eastAsia" w:ascii="Times New Roman" w:hAnsi="Times New Roman" w:eastAsia="仿宋_GB2312" w:cs="Times New Roman"/>
          <w:b w:val="0"/>
          <w:bCs w:val="0"/>
          <w:sz w:val="32"/>
          <w:szCs w:val="32"/>
        </w:rPr>
        <w:t>16</w:t>
      </w:r>
      <w:r>
        <w:rPr>
          <w:rFonts w:hint="eastAsia" w:ascii="仿宋_GB2312" w:hAnsi="Times New Roman" w:eastAsia="仿宋_GB2312" w:cs="Times New Roman"/>
          <w:b w:val="0"/>
          <w:bCs w:val="0"/>
          <w:sz w:val="32"/>
          <w:szCs w:val="32"/>
        </w:rPr>
        <w:t>个；支持企业利用停工期间组织职工开展线上职业培训，及时将相关补贴政策、标准和申报审核方式按规定进行了宣传，并落实相关工作人员受理企业申报工作，有效降低疫情影响期间各类企业的成本负担，促进企业稳岗，全年企业职工线上职业培训补贴</w:t>
      </w:r>
      <w:r>
        <w:rPr>
          <w:rFonts w:hint="eastAsia" w:ascii="Times New Roman" w:hAnsi="Times New Roman" w:eastAsia="仿宋_GB2312" w:cs="Times New Roman"/>
          <w:b w:val="0"/>
          <w:bCs w:val="0"/>
          <w:sz w:val="32"/>
          <w:szCs w:val="32"/>
        </w:rPr>
        <w:t>16</w:t>
      </w:r>
      <w:r>
        <w:rPr>
          <w:rFonts w:hint="eastAsia" w:ascii="仿宋_GB2312" w:hAnsi="Times New Roman" w:eastAsia="仿宋_GB2312" w:cs="Times New Roman"/>
          <w:b w:val="0"/>
          <w:bCs w:val="0"/>
          <w:sz w:val="32"/>
          <w:szCs w:val="32"/>
        </w:rPr>
        <w:t>家，培训项目</w:t>
      </w:r>
      <w:r>
        <w:rPr>
          <w:rFonts w:hint="eastAsia" w:ascii="Times New Roman" w:hAnsi="Times New Roman" w:eastAsia="仿宋_GB2312" w:cs="Times New Roman"/>
          <w:b w:val="0"/>
          <w:bCs w:val="0"/>
          <w:sz w:val="32"/>
          <w:szCs w:val="32"/>
        </w:rPr>
        <w:t>26</w:t>
      </w:r>
      <w:r>
        <w:rPr>
          <w:rFonts w:hint="eastAsia" w:ascii="仿宋_GB2312" w:hAnsi="Times New Roman" w:eastAsia="仿宋_GB2312" w:cs="Times New Roman"/>
          <w:b w:val="0"/>
          <w:bCs w:val="0"/>
          <w:sz w:val="32"/>
          <w:szCs w:val="32"/>
        </w:rPr>
        <w:t>个；加强与辖区商务楼宇及商贸体的互动对接，帮助东渡蛙城二期办理招商开业工作，与上海联航文化公司签署战略合作框架协议，拓展一批企业合作平台，将政府推动与市场化运作相结合。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b w:val="0"/>
          <w:bCs w:val="0"/>
          <w:sz w:val="32"/>
          <w:szCs w:val="32"/>
        </w:rPr>
      </w:pPr>
      <w:r>
        <w:rPr>
          <w:rFonts w:hint="eastAsia" w:ascii="Times New Roman" w:hAnsi="Times New Roman" w:eastAsia="仿宋_GB2312" w:cs="Times New Roman"/>
          <w:b w:val="0"/>
          <w:bCs w:val="0"/>
          <w:sz w:val="32"/>
          <w:szCs w:val="32"/>
        </w:rPr>
        <w:t>（二）存在问题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Times New Roman" w:eastAsia="仿宋_GB2312" w:cs="Times New Roman"/>
          <w:b w:val="0"/>
          <w:bCs w:val="0"/>
          <w:sz w:val="32"/>
          <w:szCs w:val="32"/>
        </w:rPr>
      </w:pPr>
      <w:r>
        <w:rPr>
          <w:rFonts w:hint="eastAsia" w:ascii="Times New Roman" w:hAnsi="Times New Roman" w:eastAsia="仿宋_GB2312" w:cs="Times New Roman"/>
          <w:b w:val="0"/>
          <w:bCs w:val="0"/>
          <w:sz w:val="32"/>
          <w:szCs w:val="32"/>
        </w:rPr>
        <w:t>1</w:t>
      </w:r>
      <w:r>
        <w:rPr>
          <w:rFonts w:hint="eastAsia" w:ascii="仿宋_GB2312" w:hAnsi="Times New Roman" w:eastAsia="仿宋_GB2312" w:cs="Times New Roman"/>
          <w:b w:val="0"/>
          <w:bCs w:val="0"/>
          <w:sz w:val="32"/>
          <w:szCs w:val="32"/>
        </w:rPr>
        <w:t>.在部门履职管理方面，部分工作仍有欠缺，未完成年初既定目标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Times New Roman" w:eastAsia="仿宋_GB2312" w:cs="Times New Roman"/>
          <w:b w:val="0"/>
          <w:bCs w:val="0"/>
          <w:sz w:val="32"/>
          <w:szCs w:val="32"/>
        </w:rPr>
      </w:pPr>
      <w:r>
        <w:rPr>
          <w:rFonts w:hint="eastAsia" w:ascii="仿宋_GB2312" w:hAnsi="Times New Roman" w:eastAsia="仿宋_GB2312" w:cs="Times New Roman"/>
          <w:b w:val="0"/>
          <w:bCs w:val="0"/>
          <w:sz w:val="32"/>
          <w:szCs w:val="32"/>
        </w:rPr>
        <w:t>受</w:t>
      </w:r>
      <w:r>
        <w:rPr>
          <w:rFonts w:hint="eastAsia" w:ascii="Times New Roman" w:hAnsi="Times New Roman" w:eastAsia="仿宋_GB2312" w:cs="Times New Roman"/>
          <w:b w:val="0"/>
          <w:bCs w:val="0"/>
          <w:sz w:val="32"/>
          <w:szCs w:val="32"/>
        </w:rPr>
        <w:t>2022</w:t>
      </w:r>
      <w:r>
        <w:rPr>
          <w:rFonts w:hint="eastAsia" w:ascii="仿宋_GB2312" w:hAnsi="Times New Roman" w:eastAsia="仿宋_GB2312" w:cs="Times New Roman"/>
          <w:b w:val="0"/>
          <w:bCs w:val="0"/>
          <w:sz w:val="32"/>
          <w:szCs w:val="32"/>
        </w:rPr>
        <w:t>年上半年新冠疫情影响，部分工作实际于下半年启动，完成情况与既定目标仍有一定差距。包括：年度新增就业人数为</w:t>
      </w:r>
      <w:r>
        <w:rPr>
          <w:rFonts w:hint="eastAsia" w:ascii="Times New Roman" w:hAnsi="Times New Roman" w:eastAsia="仿宋_GB2312" w:cs="Times New Roman"/>
          <w:b w:val="0"/>
          <w:bCs w:val="0"/>
          <w:sz w:val="32"/>
          <w:szCs w:val="32"/>
        </w:rPr>
        <w:t>1430</w:t>
      </w:r>
      <w:r>
        <w:rPr>
          <w:rFonts w:hint="eastAsia" w:ascii="仿宋_GB2312" w:hAnsi="Times New Roman" w:eastAsia="仿宋_GB2312" w:cs="Times New Roman"/>
          <w:b w:val="0"/>
          <w:bCs w:val="0"/>
          <w:sz w:val="32"/>
          <w:szCs w:val="32"/>
        </w:rPr>
        <w:t>人，较区级下达任务指标（</w:t>
      </w:r>
      <w:r>
        <w:rPr>
          <w:rFonts w:hint="eastAsia" w:ascii="Times New Roman" w:hAnsi="Times New Roman" w:eastAsia="仿宋_GB2312" w:cs="Times New Roman"/>
          <w:b w:val="0"/>
          <w:bCs w:val="0"/>
          <w:sz w:val="32"/>
          <w:szCs w:val="32"/>
        </w:rPr>
        <w:t>1450</w:t>
      </w:r>
      <w:r>
        <w:rPr>
          <w:rFonts w:hint="eastAsia" w:ascii="仿宋_GB2312" w:hAnsi="Times New Roman" w:eastAsia="仿宋_GB2312" w:cs="Times New Roman"/>
          <w:b w:val="0"/>
          <w:bCs w:val="0"/>
          <w:sz w:val="32"/>
          <w:szCs w:val="32"/>
        </w:rPr>
        <w:t>人）仍有略微差距；加装电梯工作至年底完成签约</w:t>
      </w:r>
      <w:r>
        <w:rPr>
          <w:rFonts w:hint="eastAsia" w:ascii="Times New Roman" w:hAnsi="Times New Roman" w:eastAsia="仿宋_GB2312" w:cs="Times New Roman"/>
          <w:b w:val="0"/>
          <w:bCs w:val="0"/>
          <w:sz w:val="32"/>
          <w:szCs w:val="32"/>
        </w:rPr>
        <w:t>25</w:t>
      </w:r>
      <w:r>
        <w:rPr>
          <w:rFonts w:hint="eastAsia" w:ascii="仿宋_GB2312" w:hAnsi="Times New Roman" w:eastAsia="仿宋_GB2312" w:cs="Times New Roman"/>
          <w:b w:val="0"/>
          <w:bCs w:val="0"/>
          <w:sz w:val="32"/>
          <w:szCs w:val="32"/>
        </w:rPr>
        <w:t>台、开工</w:t>
      </w:r>
      <w:r>
        <w:rPr>
          <w:rFonts w:hint="eastAsia" w:ascii="Times New Roman" w:hAnsi="Times New Roman" w:eastAsia="仿宋_GB2312" w:cs="Times New Roman"/>
          <w:b w:val="0"/>
          <w:bCs w:val="0"/>
          <w:sz w:val="32"/>
          <w:szCs w:val="32"/>
        </w:rPr>
        <w:t>8</w:t>
      </w:r>
      <w:r>
        <w:rPr>
          <w:rFonts w:hint="eastAsia" w:ascii="仿宋_GB2312" w:hAnsi="Times New Roman" w:eastAsia="仿宋_GB2312" w:cs="Times New Roman"/>
          <w:b w:val="0"/>
          <w:bCs w:val="0"/>
          <w:sz w:val="32"/>
          <w:szCs w:val="32"/>
        </w:rPr>
        <w:t>台，未达年初计划目标（签约</w:t>
      </w:r>
      <w:r>
        <w:rPr>
          <w:rFonts w:hint="eastAsia" w:ascii="Times New Roman" w:hAnsi="Times New Roman" w:eastAsia="仿宋_GB2312" w:cs="Times New Roman"/>
          <w:b w:val="0"/>
          <w:bCs w:val="0"/>
          <w:sz w:val="32"/>
          <w:szCs w:val="32"/>
        </w:rPr>
        <w:t>50</w:t>
      </w:r>
      <w:r>
        <w:rPr>
          <w:rFonts w:hint="eastAsia" w:ascii="仿宋_GB2312" w:hAnsi="Times New Roman" w:eastAsia="仿宋_GB2312" w:cs="Times New Roman"/>
          <w:b w:val="0"/>
          <w:bCs w:val="0"/>
          <w:sz w:val="32"/>
          <w:szCs w:val="32"/>
        </w:rPr>
        <w:t>台、竣工</w:t>
      </w:r>
      <w:r>
        <w:rPr>
          <w:rFonts w:hint="eastAsia" w:ascii="Times New Roman" w:hAnsi="Times New Roman" w:eastAsia="仿宋_GB2312" w:cs="Times New Roman"/>
          <w:b w:val="0"/>
          <w:bCs w:val="0"/>
          <w:sz w:val="32"/>
          <w:szCs w:val="32"/>
        </w:rPr>
        <w:t>8</w:t>
      </w:r>
      <w:r>
        <w:rPr>
          <w:rFonts w:hint="eastAsia" w:ascii="仿宋_GB2312" w:hAnsi="Times New Roman" w:eastAsia="仿宋_GB2312" w:cs="Times New Roman"/>
          <w:b w:val="0"/>
          <w:bCs w:val="0"/>
          <w:sz w:val="32"/>
          <w:szCs w:val="32"/>
        </w:rPr>
        <w:t>台）；漕盈社区老年人日间照料服务中心项目至年底尚处于立项阶段，远滞后于年初计划目标（完成整体装修）。另外，</w:t>
      </w:r>
      <w:r>
        <w:rPr>
          <w:rFonts w:hint="eastAsia" w:ascii="Times New Roman" w:hAnsi="Times New Roman" w:eastAsia="仿宋_GB2312" w:cs="Times New Roman"/>
          <w:b w:val="0"/>
          <w:bCs w:val="0"/>
          <w:sz w:val="32"/>
          <w:szCs w:val="32"/>
        </w:rPr>
        <w:t>违法用地综合整治工作中3块整治地块涉及农民相对集中居住腾退工作，无法按期完成销项。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Times New Roman" w:eastAsia="仿宋_GB2312" w:cs="Times New Roman"/>
          <w:b w:val="0"/>
          <w:bCs w:val="0"/>
          <w:sz w:val="32"/>
          <w:szCs w:val="32"/>
        </w:rPr>
      </w:pPr>
      <w:r>
        <w:rPr>
          <w:rFonts w:hint="eastAsia" w:ascii="Times New Roman" w:hAnsi="Times New Roman" w:eastAsia="仿宋_GB2312" w:cs="Times New Roman"/>
          <w:b w:val="0"/>
          <w:bCs w:val="0"/>
          <w:sz w:val="32"/>
          <w:szCs w:val="32"/>
        </w:rPr>
        <w:t>2</w:t>
      </w:r>
      <w:r>
        <w:rPr>
          <w:rFonts w:hint="eastAsia" w:ascii="仿宋_GB2312" w:hAnsi="Times New Roman" w:eastAsia="仿宋_GB2312" w:cs="Times New Roman"/>
          <w:b w:val="0"/>
          <w:bCs w:val="0"/>
          <w:sz w:val="32"/>
          <w:szCs w:val="32"/>
        </w:rPr>
        <w:t>.在部门合同管理方面，个别合同要素不够完整、个别合同执行存在差异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Times New Roman" w:eastAsia="仿宋_GB2312" w:cs="Times New Roman"/>
          <w:b w:val="0"/>
          <w:bCs w:val="0"/>
          <w:sz w:val="32"/>
          <w:szCs w:val="32"/>
        </w:rPr>
      </w:pPr>
      <w:r>
        <w:rPr>
          <w:rFonts w:hint="eastAsia" w:ascii="仿宋_GB2312" w:hAnsi="Times New Roman" w:eastAsia="仿宋_GB2312" w:cs="Times New Roman"/>
          <w:b w:val="0"/>
          <w:bCs w:val="0"/>
          <w:sz w:val="32"/>
          <w:szCs w:val="32"/>
        </w:rPr>
        <w:t>经对部门</w:t>
      </w:r>
      <w:r>
        <w:rPr>
          <w:rFonts w:hint="eastAsia" w:ascii="Times New Roman" w:hAnsi="Times New Roman" w:eastAsia="仿宋_GB2312" w:cs="Times New Roman"/>
          <w:b w:val="0"/>
          <w:bCs w:val="0"/>
          <w:sz w:val="32"/>
          <w:szCs w:val="32"/>
        </w:rPr>
        <w:t>2022</w:t>
      </w:r>
      <w:r>
        <w:rPr>
          <w:rFonts w:hint="eastAsia" w:ascii="仿宋_GB2312" w:hAnsi="Times New Roman" w:eastAsia="仿宋_GB2312" w:cs="Times New Roman"/>
          <w:b w:val="0"/>
          <w:bCs w:val="0"/>
          <w:sz w:val="32"/>
          <w:szCs w:val="32"/>
        </w:rPr>
        <w:t>年签订的合同进行抽查，发现存在如下问题：一是个别合同缺少必要要素，如盈浦街道办事处（本级）的小区防盗门维修维护合同缺少签订日期；二是个别合同条款执行不够有效，如盈浦街道老旧小区视频监控系统租赁服务合同要求在每个季度届满后的</w:t>
      </w:r>
      <w:r>
        <w:rPr>
          <w:rFonts w:hint="eastAsia" w:ascii="Times New Roman" w:hAnsi="Times New Roman" w:eastAsia="仿宋_GB2312" w:cs="Times New Roman"/>
          <w:b w:val="0"/>
          <w:bCs w:val="0"/>
          <w:sz w:val="32"/>
          <w:szCs w:val="32"/>
        </w:rPr>
        <w:t>10</w:t>
      </w:r>
      <w:r>
        <w:rPr>
          <w:rFonts w:hint="eastAsia" w:ascii="仿宋_GB2312" w:hAnsi="Times New Roman" w:eastAsia="仿宋_GB2312" w:cs="Times New Roman"/>
          <w:b w:val="0"/>
          <w:bCs w:val="0"/>
          <w:sz w:val="32"/>
          <w:szCs w:val="32"/>
        </w:rPr>
        <w:t>个工作日内一次性支付租金，但核查支付凭证发现，盈浦街道实际于</w:t>
      </w:r>
      <w:r>
        <w:rPr>
          <w:rFonts w:hint="eastAsia" w:ascii="Times New Roman" w:hAnsi="Times New Roman" w:eastAsia="仿宋_GB2312" w:cs="Times New Roman"/>
          <w:b w:val="0"/>
          <w:bCs w:val="0"/>
          <w:sz w:val="32"/>
          <w:szCs w:val="32"/>
        </w:rPr>
        <w:t>2022</w:t>
      </w:r>
      <w:r>
        <w:rPr>
          <w:rFonts w:hint="eastAsia" w:ascii="仿宋_GB2312" w:hAnsi="Times New Roman" w:eastAsia="仿宋_GB2312" w:cs="Times New Roman"/>
          <w:b w:val="0"/>
          <w:bCs w:val="0"/>
          <w:sz w:val="32"/>
          <w:szCs w:val="32"/>
        </w:rPr>
        <w:t>年</w:t>
      </w:r>
      <w:r>
        <w:rPr>
          <w:rFonts w:hint="eastAsia" w:ascii="Times New Roman" w:hAnsi="Times New Roman" w:eastAsia="仿宋_GB2312" w:cs="Times New Roman"/>
          <w:b w:val="0"/>
          <w:bCs w:val="0"/>
          <w:sz w:val="32"/>
          <w:szCs w:val="32"/>
        </w:rPr>
        <w:t>8</w:t>
      </w:r>
      <w:r>
        <w:rPr>
          <w:rFonts w:hint="eastAsia" w:ascii="仿宋_GB2312" w:hAnsi="Times New Roman" w:eastAsia="仿宋_GB2312" w:cs="Times New Roman"/>
          <w:b w:val="0"/>
          <w:bCs w:val="0"/>
          <w:sz w:val="32"/>
          <w:szCs w:val="32"/>
        </w:rPr>
        <w:t>月完成</w:t>
      </w:r>
      <w:r>
        <w:rPr>
          <w:rFonts w:hint="eastAsia" w:ascii="Times New Roman" w:hAnsi="Times New Roman" w:eastAsia="仿宋_GB2312" w:cs="Times New Roman"/>
          <w:b w:val="0"/>
          <w:bCs w:val="0"/>
          <w:sz w:val="32"/>
          <w:szCs w:val="32"/>
        </w:rPr>
        <w:t>2022</w:t>
      </w:r>
      <w:r>
        <w:rPr>
          <w:rFonts w:hint="eastAsia" w:ascii="仿宋_GB2312" w:hAnsi="Times New Roman" w:eastAsia="仿宋_GB2312" w:cs="Times New Roman"/>
          <w:b w:val="0"/>
          <w:bCs w:val="0"/>
          <w:sz w:val="32"/>
          <w:szCs w:val="32"/>
        </w:rPr>
        <w:t>年</w:t>
      </w:r>
      <w:r>
        <w:rPr>
          <w:rFonts w:hint="eastAsia" w:ascii="Times New Roman" w:hAnsi="Times New Roman" w:eastAsia="仿宋_GB2312" w:cs="Times New Roman"/>
          <w:b w:val="0"/>
          <w:bCs w:val="0"/>
          <w:sz w:val="32"/>
          <w:szCs w:val="32"/>
        </w:rPr>
        <w:t>4</w:t>
      </w:r>
      <w:r>
        <w:rPr>
          <w:rFonts w:hint="eastAsia" w:ascii="仿宋_GB2312" w:hAnsi="Times New Roman" w:eastAsia="仿宋_GB2312" w:cs="Times New Roman"/>
          <w:b w:val="0"/>
          <w:bCs w:val="0"/>
          <w:sz w:val="32"/>
          <w:szCs w:val="32"/>
        </w:rPr>
        <w:t>月-</w:t>
      </w:r>
      <w:r>
        <w:rPr>
          <w:rFonts w:hint="eastAsia" w:ascii="Times New Roman" w:hAnsi="Times New Roman" w:eastAsia="仿宋_GB2312" w:cs="Times New Roman"/>
          <w:b w:val="0"/>
          <w:bCs w:val="0"/>
          <w:sz w:val="32"/>
          <w:szCs w:val="32"/>
        </w:rPr>
        <w:t>6</w:t>
      </w:r>
      <w:r>
        <w:rPr>
          <w:rFonts w:hint="eastAsia" w:ascii="仿宋_GB2312" w:hAnsi="Times New Roman" w:eastAsia="仿宋_GB2312" w:cs="Times New Roman"/>
          <w:b w:val="0"/>
          <w:bCs w:val="0"/>
          <w:sz w:val="32"/>
          <w:szCs w:val="32"/>
        </w:rPr>
        <w:t>月的租金支付，与合同约定不一致。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Times New Roman" w:eastAsia="仿宋_GB2312" w:cs="Times New Roman"/>
          <w:b w:val="0"/>
          <w:bCs w:val="0"/>
          <w:sz w:val="32"/>
          <w:szCs w:val="32"/>
        </w:rPr>
      </w:pPr>
      <w:r>
        <w:rPr>
          <w:rFonts w:hint="eastAsia" w:ascii="Times New Roman" w:hAnsi="Times New Roman" w:eastAsia="仿宋_GB2312" w:cs="Times New Roman"/>
          <w:b w:val="0"/>
          <w:bCs w:val="0"/>
          <w:sz w:val="32"/>
          <w:szCs w:val="32"/>
        </w:rPr>
        <w:t>3</w:t>
      </w:r>
      <w:r>
        <w:rPr>
          <w:rFonts w:hint="eastAsia" w:ascii="仿宋_GB2312" w:hAnsi="Times New Roman" w:eastAsia="仿宋_GB2312" w:cs="Times New Roman"/>
          <w:b w:val="0"/>
          <w:bCs w:val="0"/>
          <w:sz w:val="32"/>
          <w:szCs w:val="32"/>
        </w:rPr>
        <w:t>.在部门预算管理方面，预算编制不够合理，预算调整不够到位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Times New Roman" w:eastAsia="仿宋_GB2312" w:cs="Times New Roman"/>
          <w:b w:val="0"/>
          <w:bCs w:val="0"/>
          <w:sz w:val="32"/>
          <w:szCs w:val="32"/>
        </w:rPr>
      </w:pPr>
      <w:r>
        <w:rPr>
          <w:rFonts w:hint="eastAsia" w:ascii="仿宋_GB2312" w:hAnsi="Times New Roman" w:eastAsia="仿宋_GB2312" w:cs="Times New Roman"/>
          <w:b w:val="0"/>
          <w:bCs w:val="0"/>
          <w:sz w:val="32"/>
          <w:szCs w:val="32"/>
        </w:rPr>
        <w:t>在预算编制方面，存在预算编制不合理、科目设置不够准确的情况。一是一级项目设置与部门核心职能活动关联不够紧密，设置数量偏多；二是部分同类支出未归类整合后合并编制预算，不同单位存在设置同名一级项目；三是部分项目预算测算不够细化，仍然采用匡算方式进行。在预算调整方面，个别年中新增项目至年底未发生支出，影响财政资金使用效率；个别项目受疫情影响，工作计划开展次数减少，影响预算执行率偏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Times New Roman" w:eastAsia="仿宋_GB2312" w:cs="Times New Roman"/>
          <w:b w:val="0"/>
          <w:bCs w:val="0"/>
          <w:sz w:val="32"/>
          <w:szCs w:val="32"/>
        </w:rPr>
      </w:pPr>
      <w:r>
        <w:rPr>
          <w:rFonts w:hint="eastAsia" w:ascii="Times New Roman" w:hAnsi="Times New Roman" w:eastAsia="仿宋_GB2312" w:cs="Times New Roman"/>
          <w:b w:val="0"/>
          <w:bCs w:val="0"/>
          <w:sz w:val="32"/>
          <w:szCs w:val="32"/>
        </w:rPr>
        <w:t>4</w:t>
      </w:r>
      <w:r>
        <w:rPr>
          <w:rFonts w:hint="eastAsia" w:ascii="仿宋_GB2312" w:hAnsi="Times New Roman" w:eastAsia="仿宋_GB2312" w:cs="Times New Roman"/>
          <w:b w:val="0"/>
          <w:bCs w:val="0"/>
          <w:sz w:val="32"/>
          <w:szCs w:val="32"/>
        </w:rPr>
        <w:t>.在部门绩效管理方面，目标设置不够合理，自评工作质量不高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Times New Roman" w:eastAsia="仿宋_GB2312" w:cs="Times New Roman"/>
          <w:b w:val="0"/>
          <w:bCs w:val="0"/>
          <w:sz w:val="32"/>
          <w:szCs w:val="32"/>
        </w:rPr>
      </w:pPr>
      <w:r>
        <w:rPr>
          <w:rFonts w:hint="eastAsia" w:ascii="仿宋_GB2312" w:hAnsi="Times New Roman" w:eastAsia="仿宋_GB2312" w:cs="Times New Roman"/>
          <w:b w:val="0"/>
          <w:bCs w:val="0"/>
          <w:sz w:val="32"/>
          <w:szCs w:val="32"/>
        </w:rPr>
        <w:t>一是部门关于整体支出和项目支出的绩效目标填报不够全面，已设置的绩效指标不够完整，指标目标值可衡量性不高，如</w:t>
      </w:r>
      <w:r>
        <w:rPr>
          <w:rFonts w:hint="eastAsia" w:ascii="仿宋_GB2312" w:hAnsi="楷体_GB2312" w:eastAsia="仿宋_GB2312" w:cs="楷体_GB2312"/>
          <w:b w:val="0"/>
          <w:bCs w:val="0"/>
          <w:sz w:val="32"/>
          <w:szCs w:val="32"/>
        </w:rPr>
        <w:t>整体支出绩效目标申报表中，关于效果指标仅设置了一个指标“辖区内市容环境情况”，在完整体现</w:t>
      </w:r>
      <w:r>
        <w:rPr>
          <w:rFonts w:hint="eastAsia" w:ascii="仿宋_GB2312" w:hAnsi="Times New Roman" w:eastAsia="仿宋_GB2312" w:cs="Times New Roman"/>
          <w:b w:val="0"/>
          <w:bCs w:val="0"/>
          <w:sz w:val="32"/>
          <w:szCs w:val="32"/>
        </w:rPr>
        <w:t>部门核心职能和具体履职工作内容方面存在欠缺；二是部门绩效自评工作质量不高，</w:t>
      </w:r>
      <w:r>
        <w:rPr>
          <w:rFonts w:hint="eastAsia" w:ascii="Times New Roman" w:hAnsi="Times New Roman" w:eastAsia="仿宋_GB2312" w:cs="Times New Roman"/>
          <w:b w:val="0"/>
          <w:bCs w:val="0"/>
          <w:sz w:val="32"/>
          <w:szCs w:val="32"/>
        </w:rPr>
        <w:t>2022</w:t>
      </w:r>
      <w:r>
        <w:rPr>
          <w:rFonts w:hint="eastAsia" w:ascii="仿宋_GB2312" w:hAnsi="Times New Roman" w:eastAsia="仿宋_GB2312" w:cs="Times New Roman"/>
          <w:b w:val="0"/>
          <w:bCs w:val="0"/>
          <w:sz w:val="32"/>
          <w:szCs w:val="32"/>
        </w:rPr>
        <w:t>年部门</w:t>
      </w:r>
      <w:r>
        <w:rPr>
          <w:rFonts w:hint="eastAsia" w:ascii="Times New Roman" w:hAnsi="Times New Roman" w:eastAsia="仿宋_GB2312" w:cs="Times New Roman"/>
          <w:b w:val="0"/>
          <w:bCs w:val="0"/>
          <w:sz w:val="32"/>
          <w:szCs w:val="32"/>
        </w:rPr>
        <w:t>91</w:t>
      </w:r>
      <w:r>
        <w:rPr>
          <w:rFonts w:hint="eastAsia" w:ascii="仿宋_GB2312" w:hAnsi="Times New Roman" w:eastAsia="仿宋_GB2312" w:cs="Times New Roman"/>
          <w:b w:val="0"/>
          <w:bCs w:val="0"/>
          <w:sz w:val="32"/>
          <w:szCs w:val="32"/>
        </w:rPr>
        <w:t>个项目自评平均得分</w:t>
      </w:r>
      <w:r>
        <w:rPr>
          <w:rFonts w:hint="eastAsia" w:ascii="Times New Roman" w:hAnsi="Times New Roman" w:eastAsia="仿宋_GB2312" w:cs="Times New Roman"/>
          <w:b w:val="0"/>
          <w:bCs w:val="0"/>
          <w:sz w:val="32"/>
          <w:szCs w:val="32"/>
        </w:rPr>
        <w:t>97</w:t>
      </w:r>
      <w:r>
        <w:rPr>
          <w:rFonts w:hint="eastAsia" w:ascii="仿宋_GB2312" w:hAnsi="Times New Roman" w:eastAsia="仿宋_GB2312" w:cs="Times New Roman"/>
          <w:b w:val="0"/>
          <w:bCs w:val="0"/>
          <w:sz w:val="32"/>
          <w:szCs w:val="32"/>
        </w:rPr>
        <w:t>分，自评发现问题</w:t>
      </w:r>
      <w:r>
        <w:rPr>
          <w:rFonts w:hint="eastAsia" w:ascii="Times New Roman" w:hAnsi="Times New Roman" w:eastAsia="仿宋_GB2312" w:cs="Times New Roman"/>
          <w:b w:val="0"/>
          <w:bCs w:val="0"/>
          <w:sz w:val="32"/>
          <w:szCs w:val="32"/>
        </w:rPr>
        <w:t>0</w:t>
      </w:r>
      <w:r>
        <w:rPr>
          <w:rFonts w:hint="eastAsia" w:ascii="仿宋_GB2312" w:hAnsi="Times New Roman" w:eastAsia="仿宋_GB2312" w:cs="Times New Roman"/>
          <w:b w:val="0"/>
          <w:bCs w:val="0"/>
          <w:sz w:val="32"/>
          <w:szCs w:val="32"/>
        </w:rPr>
        <w:t>个，绩效自评工作质量有待进一步提升。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b w:val="0"/>
          <w:bCs w:val="0"/>
          <w:sz w:val="32"/>
          <w:szCs w:val="32"/>
        </w:rPr>
      </w:pPr>
      <w:r>
        <w:rPr>
          <w:rFonts w:hint="eastAsia" w:ascii="Times New Roman" w:hAnsi="Times New Roman" w:eastAsia="仿宋_GB2312" w:cs="Times New Roman"/>
          <w:b w:val="0"/>
          <w:bCs w:val="0"/>
          <w:sz w:val="32"/>
          <w:szCs w:val="32"/>
        </w:rPr>
        <w:t>（三）建议和改进举措</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Times New Roman" w:eastAsia="仿宋_GB2312" w:cs="Times New Roman"/>
          <w:b w:val="0"/>
          <w:bCs w:val="0"/>
          <w:sz w:val="32"/>
          <w:szCs w:val="32"/>
        </w:rPr>
      </w:pPr>
      <w:r>
        <w:rPr>
          <w:rFonts w:hint="eastAsia" w:ascii="Times New Roman" w:hAnsi="Times New Roman" w:eastAsia="仿宋_GB2312" w:cs="Times New Roman"/>
          <w:b w:val="0"/>
          <w:bCs w:val="0"/>
          <w:sz w:val="32"/>
          <w:szCs w:val="32"/>
        </w:rPr>
        <w:t>1</w:t>
      </w:r>
      <w:r>
        <w:rPr>
          <w:rFonts w:hint="eastAsia" w:ascii="仿宋_GB2312" w:hAnsi="Times New Roman" w:eastAsia="仿宋_GB2312" w:cs="Times New Roman"/>
          <w:b w:val="0"/>
          <w:bCs w:val="0"/>
          <w:sz w:val="32"/>
          <w:szCs w:val="32"/>
        </w:rPr>
        <w:t>.加强部门计划管理，保障年度目标顺利实现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Times New Roman" w:eastAsia="仿宋_GB2312" w:cs="Times New Roman"/>
          <w:b w:val="0"/>
          <w:bCs w:val="0"/>
          <w:sz w:val="32"/>
          <w:szCs w:val="32"/>
        </w:rPr>
      </w:pPr>
      <w:r>
        <w:rPr>
          <w:rFonts w:hint="eastAsia" w:ascii="仿宋_GB2312" w:hAnsi="Times New Roman" w:eastAsia="仿宋_GB2312" w:cs="Times New Roman"/>
          <w:b w:val="0"/>
          <w:bCs w:val="0"/>
          <w:sz w:val="32"/>
          <w:szCs w:val="32"/>
        </w:rPr>
        <w:t>部门计划立足于部门履职需要，囊括了年度部门中心工作，是部门年度履职目标的重要支撑内容。首先，建议加强部门计划管理，结合部门职能、规划精神、上级工作要求等，编制内容全面、目标明确、实施步骤清晰、要求具体的年度工作计划，并在计划落地阶段，加强关键环节进度把控，确保履职目标如期实现。其次，针对</w:t>
      </w:r>
      <w:r>
        <w:rPr>
          <w:rFonts w:hint="eastAsia" w:ascii="Times New Roman" w:hAnsi="Times New Roman" w:eastAsia="仿宋_GB2312" w:cs="Times New Roman"/>
          <w:b w:val="0"/>
          <w:bCs w:val="0"/>
          <w:sz w:val="32"/>
          <w:szCs w:val="32"/>
        </w:rPr>
        <w:t>2022</w:t>
      </w:r>
      <w:r>
        <w:rPr>
          <w:rFonts w:hint="eastAsia" w:ascii="仿宋_GB2312" w:hAnsi="Times New Roman" w:eastAsia="仿宋_GB2312" w:cs="Times New Roman"/>
          <w:b w:val="0"/>
          <w:bCs w:val="0"/>
          <w:sz w:val="32"/>
          <w:szCs w:val="32"/>
        </w:rPr>
        <w:t>年尚未达到预期目标的</w:t>
      </w:r>
      <w:r>
        <w:rPr>
          <w:rFonts w:hint="eastAsia" w:ascii="Times New Roman" w:hAnsi="Times New Roman" w:eastAsia="仿宋_GB2312" w:cs="Times New Roman"/>
          <w:b w:val="0"/>
          <w:bCs w:val="0"/>
          <w:sz w:val="32"/>
          <w:szCs w:val="32"/>
        </w:rPr>
        <w:t>4</w:t>
      </w:r>
      <w:r>
        <w:rPr>
          <w:rFonts w:hint="eastAsia" w:ascii="仿宋_GB2312" w:hAnsi="Times New Roman" w:eastAsia="仿宋_GB2312" w:cs="Times New Roman"/>
          <w:b w:val="0"/>
          <w:bCs w:val="0"/>
          <w:sz w:val="32"/>
          <w:szCs w:val="32"/>
        </w:rPr>
        <w:t>项工作应进一步加强项目推进进度，确保各项目标尽快达成。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Times New Roman" w:eastAsia="仿宋_GB2312" w:cs="Times New Roman"/>
          <w:b w:val="0"/>
          <w:bCs w:val="0"/>
          <w:sz w:val="32"/>
          <w:szCs w:val="32"/>
        </w:rPr>
      </w:pPr>
      <w:r>
        <w:rPr>
          <w:rFonts w:hint="eastAsia" w:ascii="Times New Roman" w:hAnsi="Times New Roman" w:eastAsia="仿宋_GB2312" w:cs="Times New Roman"/>
          <w:b w:val="0"/>
          <w:bCs w:val="0"/>
          <w:sz w:val="32"/>
          <w:szCs w:val="32"/>
        </w:rPr>
        <w:t>2</w:t>
      </w:r>
      <w:r>
        <w:rPr>
          <w:rFonts w:hint="eastAsia" w:ascii="仿宋_GB2312" w:hAnsi="Times New Roman" w:eastAsia="仿宋_GB2312" w:cs="Times New Roman"/>
          <w:b w:val="0"/>
          <w:bCs w:val="0"/>
          <w:sz w:val="32"/>
          <w:szCs w:val="32"/>
        </w:rPr>
        <w:t>.加强部门合同管理，确保合同条款执行有效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Times New Roman" w:eastAsia="仿宋_GB2312" w:cs="Times New Roman"/>
          <w:b w:val="0"/>
          <w:bCs w:val="0"/>
          <w:sz w:val="32"/>
          <w:szCs w:val="32"/>
        </w:rPr>
      </w:pPr>
      <w:r>
        <w:rPr>
          <w:rFonts w:hint="eastAsia" w:ascii="仿宋_GB2312" w:hAnsi="Times New Roman" w:eastAsia="仿宋_GB2312" w:cs="Times New Roman"/>
          <w:b w:val="0"/>
          <w:bCs w:val="0"/>
          <w:sz w:val="32"/>
          <w:szCs w:val="32"/>
        </w:rPr>
        <w:t>首先，建议盈浦街道办事处加强合同审查，确保所有合同条款完整且符合项目进度要求。其次，在服务方履约期间，应严格按照合同条款约定完成款项支付，确保合同条款执行有效。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Times New Roman" w:eastAsia="仿宋_GB2312" w:cs="Times New Roman"/>
          <w:b w:val="0"/>
          <w:bCs w:val="0"/>
          <w:sz w:val="32"/>
          <w:szCs w:val="32"/>
        </w:rPr>
      </w:pPr>
      <w:r>
        <w:rPr>
          <w:rFonts w:hint="eastAsia" w:ascii="Times New Roman" w:hAnsi="Times New Roman" w:eastAsia="仿宋_GB2312" w:cs="Times New Roman"/>
          <w:b w:val="0"/>
          <w:bCs w:val="0"/>
          <w:sz w:val="32"/>
          <w:szCs w:val="32"/>
        </w:rPr>
        <w:t>3</w:t>
      </w:r>
      <w:r>
        <w:rPr>
          <w:rFonts w:hint="eastAsia" w:ascii="仿宋_GB2312" w:hAnsi="Times New Roman" w:eastAsia="仿宋_GB2312" w:cs="Times New Roman"/>
          <w:b w:val="0"/>
          <w:bCs w:val="0"/>
          <w:sz w:val="32"/>
          <w:szCs w:val="32"/>
        </w:rPr>
        <w:t>.加强部门预算管理，合理规范使用财政资金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Times New Roman" w:eastAsia="仿宋_GB2312" w:cs="Times New Roman"/>
          <w:b w:val="0"/>
          <w:bCs w:val="0"/>
          <w:sz w:val="32"/>
          <w:szCs w:val="32"/>
        </w:rPr>
      </w:pPr>
      <w:r>
        <w:rPr>
          <w:rFonts w:hint="eastAsia" w:ascii="仿宋_GB2312" w:hAnsi="Times New Roman" w:eastAsia="仿宋_GB2312" w:cs="Times New Roman"/>
          <w:b w:val="0"/>
          <w:bCs w:val="0"/>
          <w:sz w:val="32"/>
          <w:szCs w:val="32"/>
        </w:rPr>
        <w:t>在预算编制方面，一是完善一级项目设置。建议对照“三定”方案，结合业务特点和管理需要，调整完善一级项目设置，更加集中、直观反映部门主要职责和工作任务，将一级项目数量控制在合理范围内。</w:t>
      </w:r>
      <w:r>
        <w:rPr>
          <w:rFonts w:hint="eastAsia" w:ascii="仿宋_GB2312" w:hAnsi="楷体_GB2312" w:eastAsia="仿宋_GB2312" w:cs="楷体_GB2312"/>
          <w:b w:val="0"/>
          <w:bCs w:val="0"/>
          <w:sz w:val="32"/>
          <w:szCs w:val="32"/>
        </w:rPr>
        <w:t>二是增强预算统筹能力。建议对支出性质相同的预算事项进行归类整合后合并编制，具体支出事项作为项目的子活动进行管理，避免对同类支出的管理碎片化。</w:t>
      </w:r>
      <w:r>
        <w:rPr>
          <w:rFonts w:hint="eastAsia" w:ascii="仿宋_GB2312" w:hAnsi="Times New Roman" w:eastAsia="仿宋_GB2312" w:cs="Times New Roman"/>
          <w:b w:val="0"/>
          <w:bCs w:val="0"/>
          <w:sz w:val="32"/>
          <w:szCs w:val="32"/>
        </w:rPr>
        <w:t>三是完善预算测算过程。建议盈浦街道办事处应在合理确定项目目标基础上，根据工作内容，按照成本测算方法确定项目预算。在预算调整方面，建议根据相关工作实施计划变化，及时做好预算调减工作，确保财政资金使用效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Times New Roman" w:eastAsia="仿宋_GB2312" w:cs="Times New Roman"/>
          <w:b w:val="0"/>
          <w:bCs w:val="0"/>
          <w:sz w:val="32"/>
          <w:szCs w:val="32"/>
        </w:rPr>
      </w:pPr>
      <w:r>
        <w:rPr>
          <w:rFonts w:hint="eastAsia" w:ascii="Times New Roman" w:hAnsi="Times New Roman" w:eastAsia="仿宋_GB2312" w:cs="Times New Roman"/>
          <w:b w:val="0"/>
          <w:bCs w:val="0"/>
          <w:sz w:val="32"/>
          <w:szCs w:val="32"/>
        </w:rPr>
        <w:t>4</w:t>
      </w:r>
      <w:r>
        <w:rPr>
          <w:rFonts w:hint="eastAsia" w:ascii="仿宋_GB2312" w:hAnsi="Times New Roman" w:eastAsia="仿宋_GB2312" w:cs="Times New Roman"/>
          <w:b w:val="0"/>
          <w:bCs w:val="0"/>
          <w:sz w:val="32"/>
          <w:szCs w:val="32"/>
        </w:rPr>
        <w:t>.加强部门绩效管理，提升预算绩效管理水平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Times New Roman" w:eastAsia="仿宋_GB2312" w:cs="Times New Roman"/>
          <w:b w:val="0"/>
          <w:bCs w:val="0"/>
          <w:sz w:val="32"/>
          <w:szCs w:val="32"/>
        </w:rPr>
      </w:pPr>
      <w:r>
        <w:rPr>
          <w:rFonts w:hint="eastAsia" w:ascii="仿宋_GB2312" w:hAnsi="Times New Roman" w:eastAsia="仿宋_GB2312" w:cs="Times New Roman"/>
          <w:b w:val="0"/>
          <w:bCs w:val="0"/>
          <w:sz w:val="32"/>
          <w:szCs w:val="32"/>
        </w:rPr>
        <w:t>一是根据年初工作计划填报绩效目标，充分考虑绩效指标是否清晰、细化、可衡量等，以更好地反映和考核项目绩效目标与项目实施的相符情况，提高预算管理水平；二是提高绩效自评工作质量，结合工作实际开展情况落实自评和跟踪工作，及时发现部门履职和项目执行过程中存在的问题，及时研究制定整改措施，并加强上下联动整改，积极落实结果应用，切实改进预算管理和项目管理，并促进绩效评价结果与财政预算管理有机结合，运用评价结果作为预算编制安排的依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Times New Roman" w:eastAsia="仿宋_GB2312" w:cs="Times New Roman"/>
          <w:b w:val="0"/>
          <w:bCs w:val="0"/>
          <w:sz w:val="32"/>
          <w:szCs w:val="32"/>
        </w:rPr>
      </w:pPr>
      <w:r>
        <w:rPr>
          <w:rFonts w:hint="eastAsia" w:ascii="Times New Roman" w:hAnsi="Times New Roman" w:eastAsia="仿宋_GB2312" w:cs="Times New Roman"/>
          <w:b w:val="0"/>
          <w:bCs w:val="0"/>
          <w:sz w:val="32"/>
          <w:szCs w:val="32"/>
        </w:rPr>
        <w:t>5</w:t>
      </w:r>
      <w:r>
        <w:rPr>
          <w:rFonts w:hint="eastAsia" w:ascii="仿宋_GB2312" w:hAnsi="Times New Roman" w:eastAsia="仿宋_GB2312" w:cs="Times New Roman"/>
          <w:b w:val="0"/>
          <w:bCs w:val="0"/>
          <w:sz w:val="32"/>
          <w:szCs w:val="32"/>
        </w:rPr>
        <w:t>.</w:t>
      </w:r>
      <w:r>
        <w:rPr>
          <w:rFonts w:hint="eastAsia" w:ascii="Times New Roman" w:hAnsi="Times New Roman" w:eastAsia="仿宋_GB2312" w:cs="Times New Roman"/>
          <w:b w:val="0"/>
          <w:bCs w:val="0"/>
          <w:sz w:val="32"/>
          <w:szCs w:val="32"/>
        </w:rPr>
        <w:t>2023</w:t>
      </w:r>
      <w:r>
        <w:rPr>
          <w:rFonts w:hint="eastAsia" w:ascii="仿宋_GB2312" w:hAnsi="Times New Roman" w:eastAsia="仿宋_GB2312" w:cs="Times New Roman"/>
          <w:b w:val="0"/>
          <w:bCs w:val="0"/>
          <w:sz w:val="32"/>
          <w:szCs w:val="32"/>
        </w:rPr>
        <w:t>年预算调整和</w:t>
      </w:r>
      <w:r>
        <w:rPr>
          <w:rFonts w:hint="eastAsia" w:ascii="Times New Roman" w:hAnsi="Times New Roman" w:eastAsia="仿宋_GB2312" w:cs="Times New Roman"/>
          <w:b w:val="0"/>
          <w:bCs w:val="0"/>
          <w:sz w:val="32"/>
          <w:szCs w:val="32"/>
        </w:rPr>
        <w:t>2024</w:t>
      </w:r>
      <w:r>
        <w:rPr>
          <w:rFonts w:hint="eastAsia" w:ascii="仿宋_GB2312" w:hAnsi="Times New Roman" w:eastAsia="仿宋_GB2312" w:cs="Times New Roman"/>
          <w:b w:val="0"/>
          <w:bCs w:val="0"/>
          <w:sz w:val="32"/>
          <w:szCs w:val="32"/>
        </w:rPr>
        <w:t>年预算编制建议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Times New Roman" w:eastAsia="仿宋_GB2312" w:cs="Times New Roman"/>
          <w:b w:val="0"/>
          <w:bCs w:val="0"/>
          <w:sz w:val="32"/>
          <w:szCs w:val="32"/>
        </w:rPr>
      </w:pPr>
      <w:r>
        <w:rPr>
          <w:rFonts w:hint="eastAsia" w:ascii="仿宋_GB2312" w:hAnsi="Times New Roman" w:eastAsia="仿宋_GB2312" w:cs="Times New Roman"/>
          <w:b w:val="0"/>
          <w:bCs w:val="0"/>
          <w:sz w:val="32"/>
          <w:szCs w:val="32"/>
        </w:rPr>
        <w:t>（</w:t>
      </w:r>
      <w:r>
        <w:rPr>
          <w:rFonts w:hint="eastAsia" w:ascii="Times New Roman" w:hAnsi="Times New Roman" w:eastAsia="仿宋_GB2312" w:cs="Times New Roman"/>
          <w:b w:val="0"/>
          <w:bCs w:val="0"/>
          <w:sz w:val="32"/>
          <w:szCs w:val="32"/>
        </w:rPr>
        <w:t>1</w:t>
      </w:r>
      <w:r>
        <w:rPr>
          <w:rFonts w:hint="eastAsia" w:ascii="仿宋_GB2312" w:hAnsi="Times New Roman" w:eastAsia="仿宋_GB2312" w:cs="Times New Roman"/>
          <w:b w:val="0"/>
          <w:bCs w:val="0"/>
          <w:sz w:val="32"/>
          <w:szCs w:val="32"/>
        </w:rPr>
        <w:t>）</w:t>
      </w:r>
      <w:r>
        <w:rPr>
          <w:rFonts w:hint="eastAsia" w:ascii="Times New Roman" w:hAnsi="Times New Roman" w:eastAsia="仿宋_GB2312" w:cs="Times New Roman"/>
          <w:b w:val="0"/>
          <w:bCs w:val="0"/>
          <w:sz w:val="32"/>
          <w:szCs w:val="32"/>
        </w:rPr>
        <w:t>2023</w:t>
      </w:r>
      <w:r>
        <w:rPr>
          <w:rFonts w:hint="eastAsia" w:ascii="仿宋_GB2312" w:hAnsi="Times New Roman" w:eastAsia="仿宋_GB2312" w:cs="Times New Roman"/>
          <w:b w:val="0"/>
          <w:bCs w:val="0"/>
          <w:sz w:val="32"/>
          <w:szCs w:val="32"/>
        </w:rPr>
        <w:t>年预算调整建议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Times New Roman" w:eastAsia="仿宋_GB2312" w:cs="Times New Roman"/>
          <w:b w:val="0"/>
          <w:bCs w:val="0"/>
          <w:sz w:val="32"/>
          <w:szCs w:val="32"/>
        </w:rPr>
      </w:pPr>
      <w:r>
        <w:rPr>
          <w:rFonts w:hint="eastAsia" w:ascii="Times New Roman" w:hAnsi="Times New Roman" w:eastAsia="仿宋_GB2312" w:cs="Times New Roman"/>
          <w:b w:val="0"/>
          <w:bCs w:val="0"/>
          <w:sz w:val="32"/>
          <w:szCs w:val="32"/>
        </w:rPr>
        <w:t>2023</w:t>
      </w:r>
      <w:r>
        <w:rPr>
          <w:rFonts w:hint="eastAsia" w:ascii="仿宋_GB2312" w:hAnsi="Times New Roman" w:eastAsia="仿宋_GB2312" w:cs="Times New Roman"/>
          <w:b w:val="0"/>
          <w:bCs w:val="0"/>
          <w:sz w:val="32"/>
          <w:szCs w:val="32"/>
        </w:rPr>
        <w:t>年，盈浦街道办事处部门年初预算安排</w:t>
      </w:r>
      <w:r>
        <w:rPr>
          <w:rFonts w:hint="eastAsia" w:ascii="Times New Roman" w:hAnsi="Times New Roman" w:eastAsia="仿宋_GB2312" w:cs="Times New Roman"/>
          <w:b w:val="0"/>
          <w:bCs w:val="0"/>
          <w:sz w:val="32"/>
          <w:szCs w:val="32"/>
        </w:rPr>
        <w:t>3</w:t>
      </w:r>
      <w:r>
        <w:rPr>
          <w:rFonts w:hint="eastAsia" w:ascii="仿宋_GB2312" w:hAnsi="Times New Roman" w:eastAsia="仿宋_GB2312" w:cs="Times New Roman"/>
          <w:b w:val="0"/>
          <w:bCs w:val="0"/>
          <w:sz w:val="32"/>
          <w:szCs w:val="32"/>
        </w:rPr>
        <w:t>.</w:t>
      </w:r>
      <w:r>
        <w:rPr>
          <w:rFonts w:hint="eastAsia" w:ascii="Times New Roman" w:hAnsi="Times New Roman" w:eastAsia="仿宋_GB2312" w:cs="Times New Roman"/>
          <w:b w:val="0"/>
          <w:bCs w:val="0"/>
          <w:sz w:val="32"/>
          <w:szCs w:val="32"/>
        </w:rPr>
        <w:t>51</w:t>
      </w:r>
      <w:r>
        <w:rPr>
          <w:rFonts w:hint="eastAsia" w:ascii="仿宋_GB2312" w:hAnsi="Times New Roman" w:eastAsia="仿宋_GB2312" w:cs="Times New Roman"/>
          <w:b w:val="0"/>
          <w:bCs w:val="0"/>
          <w:sz w:val="32"/>
          <w:szCs w:val="32"/>
        </w:rPr>
        <w:t>亿，调整后预算</w:t>
      </w:r>
      <w:r>
        <w:rPr>
          <w:rFonts w:hint="eastAsia" w:ascii="Times New Roman" w:hAnsi="Times New Roman" w:eastAsia="仿宋_GB2312" w:cs="Times New Roman"/>
          <w:b w:val="0"/>
          <w:bCs w:val="0"/>
          <w:sz w:val="32"/>
          <w:szCs w:val="32"/>
        </w:rPr>
        <w:t>4</w:t>
      </w:r>
      <w:r>
        <w:rPr>
          <w:rFonts w:hint="eastAsia" w:ascii="仿宋_GB2312" w:hAnsi="Times New Roman" w:eastAsia="仿宋_GB2312" w:cs="Times New Roman"/>
          <w:b w:val="0"/>
          <w:bCs w:val="0"/>
          <w:sz w:val="32"/>
          <w:szCs w:val="32"/>
        </w:rPr>
        <w:t>.</w:t>
      </w:r>
      <w:r>
        <w:rPr>
          <w:rFonts w:hint="eastAsia" w:ascii="Times New Roman" w:hAnsi="Times New Roman" w:eastAsia="仿宋_GB2312" w:cs="Times New Roman"/>
          <w:b w:val="0"/>
          <w:bCs w:val="0"/>
          <w:sz w:val="32"/>
          <w:szCs w:val="32"/>
        </w:rPr>
        <w:t>22</w:t>
      </w:r>
      <w:r>
        <w:rPr>
          <w:rFonts w:hint="eastAsia" w:ascii="仿宋_GB2312" w:hAnsi="Times New Roman" w:eastAsia="仿宋_GB2312" w:cs="Times New Roman"/>
          <w:b w:val="0"/>
          <w:bCs w:val="0"/>
          <w:sz w:val="32"/>
          <w:szCs w:val="32"/>
        </w:rPr>
        <w:t>亿元，较</w:t>
      </w:r>
      <w:r>
        <w:rPr>
          <w:rFonts w:hint="eastAsia" w:ascii="Times New Roman" w:hAnsi="Times New Roman" w:eastAsia="仿宋_GB2312" w:cs="Times New Roman"/>
          <w:b w:val="0"/>
          <w:bCs w:val="0"/>
          <w:sz w:val="32"/>
          <w:szCs w:val="32"/>
        </w:rPr>
        <w:t>2022</w:t>
      </w:r>
      <w:r>
        <w:rPr>
          <w:rFonts w:hint="eastAsia" w:ascii="仿宋_GB2312" w:hAnsi="Times New Roman" w:eastAsia="仿宋_GB2312" w:cs="Times New Roman"/>
          <w:b w:val="0"/>
          <w:bCs w:val="0"/>
          <w:sz w:val="32"/>
          <w:szCs w:val="32"/>
        </w:rPr>
        <w:t>年调整后预算下降</w:t>
      </w:r>
      <w:r>
        <w:rPr>
          <w:rFonts w:hint="eastAsia" w:ascii="Times New Roman" w:hAnsi="Times New Roman" w:eastAsia="仿宋_GB2312" w:cs="Times New Roman"/>
          <w:b w:val="0"/>
          <w:bCs w:val="0"/>
          <w:sz w:val="32"/>
          <w:szCs w:val="32"/>
        </w:rPr>
        <w:t>7</w:t>
      </w:r>
      <w:r>
        <w:rPr>
          <w:rFonts w:hint="eastAsia" w:ascii="仿宋_GB2312" w:hAnsi="Times New Roman" w:eastAsia="仿宋_GB2312" w:cs="Times New Roman"/>
          <w:b w:val="0"/>
          <w:bCs w:val="0"/>
          <w:sz w:val="32"/>
          <w:szCs w:val="32"/>
        </w:rPr>
        <w:t>.</w:t>
      </w:r>
      <w:r>
        <w:rPr>
          <w:rFonts w:hint="eastAsia" w:ascii="Times New Roman" w:hAnsi="Times New Roman" w:eastAsia="仿宋_GB2312" w:cs="Times New Roman"/>
          <w:b w:val="0"/>
          <w:bCs w:val="0"/>
          <w:sz w:val="32"/>
          <w:szCs w:val="32"/>
        </w:rPr>
        <w:t>25</w:t>
      </w:r>
      <w:r>
        <w:rPr>
          <w:rFonts w:hint="eastAsia" w:ascii="仿宋_GB2312" w:hAnsi="Times New Roman" w:eastAsia="仿宋_GB2312" w:cs="Times New Roman"/>
          <w:b w:val="0"/>
          <w:bCs w:val="0"/>
          <w:sz w:val="32"/>
          <w:szCs w:val="32"/>
        </w:rPr>
        <w:t>%。截至</w:t>
      </w:r>
      <w:r>
        <w:rPr>
          <w:rFonts w:hint="eastAsia" w:ascii="Times New Roman" w:hAnsi="Times New Roman" w:eastAsia="仿宋_GB2312" w:cs="Times New Roman"/>
          <w:b w:val="0"/>
          <w:bCs w:val="0"/>
          <w:sz w:val="32"/>
          <w:szCs w:val="32"/>
        </w:rPr>
        <w:t>2023</w:t>
      </w:r>
      <w:r>
        <w:rPr>
          <w:rFonts w:hint="eastAsia" w:ascii="仿宋_GB2312" w:hAnsi="Times New Roman" w:eastAsia="仿宋_GB2312" w:cs="Times New Roman"/>
          <w:b w:val="0"/>
          <w:bCs w:val="0"/>
          <w:sz w:val="32"/>
          <w:szCs w:val="32"/>
        </w:rPr>
        <w:t>年</w:t>
      </w:r>
      <w:r>
        <w:rPr>
          <w:rFonts w:hint="eastAsia" w:ascii="Times New Roman" w:hAnsi="Times New Roman" w:eastAsia="仿宋_GB2312" w:cs="Times New Roman"/>
          <w:b w:val="0"/>
          <w:bCs w:val="0"/>
          <w:sz w:val="32"/>
          <w:szCs w:val="32"/>
        </w:rPr>
        <w:t>5</w:t>
      </w:r>
      <w:r>
        <w:rPr>
          <w:rFonts w:hint="eastAsia" w:ascii="仿宋_GB2312" w:hAnsi="Times New Roman" w:eastAsia="仿宋_GB2312" w:cs="Times New Roman"/>
          <w:b w:val="0"/>
          <w:bCs w:val="0"/>
          <w:sz w:val="32"/>
          <w:szCs w:val="32"/>
        </w:rPr>
        <w:t>月底，部门已支出金额</w:t>
      </w:r>
      <w:r>
        <w:rPr>
          <w:rFonts w:hint="eastAsia" w:ascii="Times New Roman" w:hAnsi="Times New Roman" w:eastAsia="仿宋_GB2312" w:cs="Times New Roman"/>
          <w:b w:val="0"/>
          <w:bCs w:val="0"/>
          <w:sz w:val="32"/>
          <w:szCs w:val="32"/>
        </w:rPr>
        <w:t>1</w:t>
      </w:r>
      <w:r>
        <w:rPr>
          <w:rFonts w:hint="eastAsia" w:ascii="仿宋_GB2312" w:hAnsi="Times New Roman" w:eastAsia="仿宋_GB2312" w:cs="Times New Roman"/>
          <w:b w:val="0"/>
          <w:bCs w:val="0"/>
          <w:sz w:val="32"/>
          <w:szCs w:val="32"/>
        </w:rPr>
        <w:t>.</w:t>
      </w:r>
      <w:r>
        <w:rPr>
          <w:rFonts w:hint="eastAsia" w:ascii="Times New Roman" w:hAnsi="Times New Roman" w:eastAsia="仿宋_GB2312" w:cs="Times New Roman"/>
          <w:b w:val="0"/>
          <w:bCs w:val="0"/>
          <w:sz w:val="32"/>
          <w:szCs w:val="32"/>
        </w:rPr>
        <w:t>72</w:t>
      </w:r>
      <w:r>
        <w:rPr>
          <w:rFonts w:hint="eastAsia" w:ascii="仿宋_GB2312" w:hAnsi="Times New Roman" w:eastAsia="仿宋_GB2312" w:cs="Times New Roman"/>
          <w:b w:val="0"/>
          <w:bCs w:val="0"/>
          <w:sz w:val="32"/>
          <w:szCs w:val="32"/>
        </w:rPr>
        <w:t>亿元，预算执行率为</w:t>
      </w:r>
      <w:r>
        <w:rPr>
          <w:rFonts w:hint="eastAsia" w:ascii="Times New Roman" w:hAnsi="Times New Roman" w:eastAsia="仿宋_GB2312" w:cs="Times New Roman"/>
          <w:b w:val="0"/>
          <w:bCs w:val="0"/>
          <w:sz w:val="32"/>
          <w:szCs w:val="32"/>
        </w:rPr>
        <w:t>40</w:t>
      </w:r>
      <w:r>
        <w:rPr>
          <w:rFonts w:hint="eastAsia" w:ascii="仿宋_GB2312" w:hAnsi="Times New Roman" w:eastAsia="仿宋_GB2312" w:cs="Times New Roman"/>
          <w:b w:val="0"/>
          <w:bCs w:val="0"/>
          <w:sz w:val="32"/>
          <w:szCs w:val="32"/>
        </w:rPr>
        <w:t>.</w:t>
      </w:r>
      <w:r>
        <w:rPr>
          <w:rFonts w:hint="eastAsia" w:ascii="Times New Roman" w:hAnsi="Times New Roman" w:eastAsia="仿宋_GB2312" w:cs="Times New Roman"/>
          <w:b w:val="0"/>
          <w:bCs w:val="0"/>
          <w:sz w:val="32"/>
          <w:szCs w:val="32"/>
        </w:rPr>
        <w:t>88</w:t>
      </w:r>
      <w:r>
        <w:rPr>
          <w:rFonts w:hint="eastAsia" w:ascii="仿宋_GB2312" w:hAnsi="Times New Roman" w:eastAsia="仿宋_GB2312" w:cs="Times New Roman"/>
          <w:b w:val="0"/>
          <w:bCs w:val="0"/>
          <w:sz w:val="32"/>
          <w:szCs w:val="32"/>
        </w:rPr>
        <w:t>%。经核对发现，部门整体预算编制较为合理，执行水平达到预期进度，本次评价不对其提出预算调整建议。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Times New Roman" w:eastAsia="仿宋_GB2312" w:cs="Times New Roman"/>
          <w:b w:val="0"/>
          <w:bCs w:val="0"/>
          <w:sz w:val="32"/>
          <w:szCs w:val="32"/>
        </w:rPr>
      </w:pPr>
      <w:r>
        <w:rPr>
          <w:rFonts w:hint="eastAsia" w:ascii="仿宋_GB2312" w:hAnsi="Times New Roman" w:eastAsia="仿宋_GB2312" w:cs="Times New Roman"/>
          <w:b w:val="0"/>
          <w:bCs w:val="0"/>
          <w:sz w:val="32"/>
          <w:szCs w:val="32"/>
        </w:rPr>
        <w:t>（</w:t>
      </w:r>
      <w:r>
        <w:rPr>
          <w:rFonts w:hint="eastAsia" w:ascii="Times New Roman" w:hAnsi="Times New Roman" w:eastAsia="仿宋_GB2312" w:cs="Times New Roman"/>
          <w:b w:val="0"/>
          <w:bCs w:val="0"/>
          <w:sz w:val="32"/>
          <w:szCs w:val="32"/>
        </w:rPr>
        <w:t>2</w:t>
      </w:r>
      <w:r>
        <w:rPr>
          <w:rFonts w:hint="eastAsia" w:ascii="仿宋_GB2312" w:hAnsi="Times New Roman" w:eastAsia="仿宋_GB2312" w:cs="Times New Roman"/>
          <w:b w:val="0"/>
          <w:bCs w:val="0"/>
          <w:sz w:val="32"/>
          <w:szCs w:val="32"/>
        </w:rPr>
        <w:t>）</w:t>
      </w:r>
      <w:r>
        <w:rPr>
          <w:rFonts w:hint="eastAsia" w:ascii="Times New Roman" w:hAnsi="Times New Roman" w:eastAsia="仿宋_GB2312" w:cs="Times New Roman"/>
          <w:b w:val="0"/>
          <w:bCs w:val="0"/>
          <w:sz w:val="32"/>
          <w:szCs w:val="32"/>
        </w:rPr>
        <w:t>2024</w:t>
      </w:r>
      <w:r>
        <w:rPr>
          <w:rFonts w:hint="eastAsia" w:ascii="仿宋_GB2312" w:hAnsi="Times New Roman" w:eastAsia="仿宋_GB2312" w:cs="Times New Roman"/>
          <w:b w:val="0"/>
          <w:bCs w:val="0"/>
          <w:sz w:val="32"/>
          <w:szCs w:val="32"/>
        </w:rPr>
        <w:t>年预算编制建议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b w:val="0"/>
          <w:bCs w:val="0"/>
          <w:sz w:val="32"/>
          <w:szCs w:val="32"/>
        </w:rPr>
      </w:pPr>
      <w:r>
        <w:rPr>
          <w:rFonts w:hint="eastAsia" w:ascii="仿宋_GB2312" w:eastAsia="仿宋_GB2312"/>
          <w:b w:val="0"/>
          <w:bCs w:val="0"/>
          <w:sz w:val="32"/>
          <w:szCs w:val="32"/>
        </w:rPr>
        <w:t>①预算科目建议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b w:val="0"/>
          <w:bCs w:val="0"/>
          <w:sz w:val="32"/>
          <w:szCs w:val="32"/>
        </w:rPr>
      </w:pPr>
      <w:r>
        <w:rPr>
          <w:rFonts w:hint="eastAsia" w:ascii="仿宋_GB2312" w:eastAsia="仿宋_GB2312"/>
          <w:b w:val="0"/>
          <w:bCs w:val="0"/>
          <w:sz w:val="32"/>
          <w:szCs w:val="32"/>
        </w:rPr>
        <w:t>建议盈浦街道办事处对照“三定”方案，结合业务特点和管理需要，调整完善一级项目设置，并将一级项目数量控制在合理范围内。部门单项职责涉及支出规模较小的，应将多项职责合并设置一级项目；单项职责涉及支出规模较大的，应对职责适当细化后设置一级项目。同时建议盈浦街道办事处将支出性质相同的预算事项进行归类整合后合并编制，如将万人就业项目经费整合后安排在上海市青浦区盈浦街道城市运行管理中心或上海市青浦区盈浦街道社区事务受理服务中心，避免对同类支出的管理碎片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b w:val="0"/>
          <w:bCs w:val="0"/>
          <w:sz w:val="32"/>
          <w:szCs w:val="32"/>
        </w:rPr>
      </w:pPr>
      <w:r>
        <w:rPr>
          <w:rFonts w:hint="eastAsia" w:ascii="仿宋_GB2312" w:eastAsia="仿宋_GB2312"/>
          <w:b w:val="0"/>
          <w:bCs w:val="0"/>
          <w:sz w:val="32"/>
          <w:szCs w:val="32"/>
        </w:rPr>
        <w:t>②对预算编制的建议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b w:val="0"/>
          <w:bCs w:val="0"/>
          <w:sz w:val="32"/>
          <w:szCs w:val="32"/>
        </w:rPr>
      </w:pPr>
      <w:r>
        <w:rPr>
          <w:rFonts w:hint="eastAsia" w:ascii="仿宋_GB2312" w:eastAsia="仿宋_GB2312"/>
          <w:b w:val="0"/>
          <w:bCs w:val="0"/>
          <w:sz w:val="32"/>
          <w:szCs w:val="32"/>
        </w:rPr>
        <w:t>经常性项目：建议盈浦街道办事处编制</w:t>
      </w:r>
      <w:r>
        <w:rPr>
          <w:rFonts w:hint="eastAsia" w:ascii="Times New Roman" w:hAnsi="Times New Roman" w:eastAsia="仿宋_GB2312"/>
          <w:b w:val="0"/>
          <w:bCs w:val="0"/>
          <w:sz w:val="32"/>
          <w:szCs w:val="32"/>
        </w:rPr>
        <w:t>2024</w:t>
      </w:r>
      <w:r>
        <w:rPr>
          <w:rFonts w:hint="eastAsia" w:ascii="仿宋_GB2312" w:eastAsia="仿宋_GB2312"/>
          <w:b w:val="0"/>
          <w:bCs w:val="0"/>
          <w:sz w:val="32"/>
          <w:szCs w:val="32"/>
        </w:rPr>
        <w:t>年经常性项目预算时，先对</w:t>
      </w:r>
      <w:r>
        <w:rPr>
          <w:rFonts w:hint="eastAsia" w:ascii="Times New Roman" w:hAnsi="Times New Roman" w:eastAsia="仿宋_GB2312"/>
          <w:b w:val="0"/>
          <w:bCs w:val="0"/>
          <w:sz w:val="32"/>
          <w:szCs w:val="32"/>
        </w:rPr>
        <w:t>2020</w:t>
      </w:r>
      <w:r>
        <w:rPr>
          <w:rFonts w:hint="eastAsia" w:ascii="仿宋_GB2312" w:eastAsia="仿宋_GB2312"/>
          <w:b w:val="0"/>
          <w:bCs w:val="0"/>
          <w:sz w:val="32"/>
          <w:szCs w:val="32"/>
        </w:rPr>
        <w:t>-</w:t>
      </w:r>
      <w:r>
        <w:rPr>
          <w:rFonts w:hint="eastAsia" w:ascii="Times New Roman" w:hAnsi="Times New Roman" w:eastAsia="仿宋_GB2312"/>
          <w:b w:val="0"/>
          <w:bCs w:val="0"/>
          <w:sz w:val="32"/>
          <w:szCs w:val="32"/>
        </w:rPr>
        <w:t>2023</w:t>
      </w:r>
      <w:r>
        <w:rPr>
          <w:rFonts w:hint="eastAsia" w:ascii="仿宋_GB2312" w:eastAsia="仿宋_GB2312"/>
          <w:b w:val="0"/>
          <w:bCs w:val="0"/>
          <w:sz w:val="32"/>
          <w:szCs w:val="32"/>
        </w:rPr>
        <w:t>年预算执行情况进行综合分析，同时结合</w:t>
      </w:r>
      <w:r>
        <w:rPr>
          <w:rFonts w:hint="eastAsia" w:ascii="Times New Roman" w:hAnsi="Times New Roman" w:eastAsia="仿宋_GB2312"/>
          <w:b w:val="0"/>
          <w:bCs w:val="0"/>
          <w:sz w:val="32"/>
          <w:szCs w:val="32"/>
        </w:rPr>
        <w:t>2023</w:t>
      </w:r>
      <w:r>
        <w:rPr>
          <w:rFonts w:hint="eastAsia" w:ascii="仿宋_GB2312" w:eastAsia="仿宋_GB2312"/>
          <w:b w:val="0"/>
          <w:bCs w:val="0"/>
          <w:sz w:val="32"/>
          <w:szCs w:val="32"/>
        </w:rPr>
        <w:t>年预算预计执行进度情况，编制经常性项目预算资金。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b w:val="0"/>
          <w:bCs w:val="0"/>
          <w:sz w:val="32"/>
          <w:szCs w:val="32"/>
        </w:rPr>
      </w:pPr>
      <w:r>
        <w:rPr>
          <w:rFonts w:hint="eastAsia" w:ascii="仿宋_GB2312" w:eastAsia="仿宋_GB2312"/>
          <w:b w:val="0"/>
          <w:bCs w:val="0"/>
          <w:sz w:val="32"/>
          <w:szCs w:val="32"/>
        </w:rPr>
        <w:t>一次性项目：建议盈浦街道办事处</w:t>
      </w:r>
      <w:r>
        <w:rPr>
          <w:rFonts w:hint="eastAsia" w:ascii="Times New Roman" w:hAnsi="Times New Roman" w:eastAsia="仿宋_GB2312"/>
          <w:b w:val="0"/>
          <w:bCs w:val="0"/>
          <w:sz w:val="32"/>
          <w:szCs w:val="32"/>
        </w:rPr>
        <w:t>2024</w:t>
      </w:r>
      <w:r>
        <w:rPr>
          <w:rFonts w:hint="eastAsia" w:ascii="仿宋_GB2312" w:eastAsia="仿宋_GB2312"/>
          <w:b w:val="0"/>
          <w:bCs w:val="0"/>
          <w:sz w:val="32"/>
          <w:szCs w:val="32"/>
        </w:rPr>
        <w:t>年针对“美丽街区”等实施具有跨年度特征的一次性工程类项目预算，结合各年度项目实施进度，明确当年度应付款项（包括当年项目首付款、往年项目进度款及项目尾款），按发改委批复造价、实际工程合同签订金额等，结合各进度资金支付比例，确定当年度预算资金数。同时，建议盈浦街道加强与主管行业部门沟通，将已获批或确认将获批的项目预算纳入年初预算进行安排，降低年中预算调整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Times New Roman"/>
          <w:b w:val="0"/>
          <w:bCs w:val="0"/>
          <w:sz w:val="32"/>
          <w:szCs w:val="32"/>
          <w:lang w:val="en-US" w:eastAsia="zh-CN"/>
        </w:rPr>
      </w:pPr>
      <w:r>
        <w:rPr>
          <w:rFonts w:hint="eastAsia" w:ascii="黑体" w:hAnsi="黑体" w:eastAsia="黑体" w:cs="Times New Roman"/>
          <w:b w:val="0"/>
          <w:bCs w:val="0"/>
          <w:sz w:val="32"/>
          <w:szCs w:val="32"/>
          <w:lang w:val="en-US" w:eastAsia="zh-CN"/>
        </w:rPr>
        <w:t>五、结果应用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b w:val="0"/>
          <w:bCs w:val="0"/>
          <w:sz w:val="32"/>
          <w:szCs w:val="32"/>
        </w:rPr>
      </w:pPr>
      <w:r>
        <w:rPr>
          <w:rFonts w:hint="eastAsia" w:ascii="仿宋_GB2312" w:eastAsia="仿宋_GB2312"/>
          <w:b w:val="0"/>
          <w:bCs w:val="0"/>
          <w:sz w:val="32"/>
          <w:szCs w:val="32"/>
          <w:lang w:eastAsia="zh-CN"/>
        </w:rPr>
        <w:t>对照</w:t>
      </w:r>
      <w:r>
        <w:rPr>
          <w:rFonts w:hint="eastAsia" w:ascii="仿宋_GB2312" w:eastAsia="仿宋_GB2312"/>
          <w:b w:val="0"/>
          <w:bCs w:val="0"/>
          <w:sz w:val="32"/>
          <w:szCs w:val="32"/>
        </w:rPr>
        <w:t>《2022年青浦区人民政府盈浦街道办事处部门整体支出绩效评价报告》中存在的问题，我街道认</w:t>
      </w:r>
      <w:r>
        <w:rPr>
          <w:rFonts w:hint="eastAsia" w:ascii="仿宋_GB2312" w:eastAsia="仿宋_GB2312"/>
          <w:b w:val="0"/>
          <w:bCs w:val="0"/>
          <w:sz w:val="32"/>
          <w:szCs w:val="32"/>
          <w:lang w:eastAsia="zh-CN"/>
        </w:rPr>
        <w:t>真</w:t>
      </w:r>
      <w:r>
        <w:rPr>
          <w:rFonts w:hint="eastAsia" w:ascii="仿宋_GB2312" w:eastAsia="仿宋_GB2312"/>
          <w:b w:val="0"/>
          <w:bCs w:val="0"/>
          <w:sz w:val="32"/>
          <w:szCs w:val="32"/>
        </w:rPr>
        <w:t>贯彻落实整改，</w:t>
      </w:r>
      <w:r>
        <w:rPr>
          <w:rFonts w:hint="eastAsia" w:ascii="仿宋_GB2312" w:eastAsia="仿宋_GB2312"/>
          <w:b w:val="0"/>
          <w:bCs w:val="0"/>
          <w:sz w:val="32"/>
          <w:szCs w:val="32"/>
          <w:lang w:eastAsia="zh-CN"/>
        </w:rPr>
        <w:t>具体整改情况如下</w:t>
      </w:r>
      <w:r>
        <w:rPr>
          <w:rFonts w:hint="eastAsia" w:ascii="仿宋_GB2312" w:eastAsia="仿宋_GB2312"/>
          <w:b w:val="0"/>
          <w:bCs w:val="0"/>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b w:val="0"/>
          <w:bCs w:val="0"/>
          <w:sz w:val="32"/>
          <w:szCs w:val="32"/>
        </w:rPr>
      </w:pPr>
      <w:r>
        <w:rPr>
          <w:rFonts w:hint="eastAsia" w:ascii="楷体_GB2312" w:hAnsi="楷体_GB2312" w:eastAsia="楷体_GB2312" w:cs="楷体_GB2312"/>
          <w:b w:val="0"/>
          <w:bCs w:val="0"/>
          <w:sz w:val="32"/>
          <w:szCs w:val="32"/>
          <w:lang w:eastAsia="zh-CN"/>
        </w:rPr>
        <w:t>（一）</w:t>
      </w:r>
      <w:r>
        <w:rPr>
          <w:rFonts w:hint="eastAsia" w:ascii="楷体_GB2312" w:hAnsi="楷体_GB2312" w:eastAsia="楷体_GB2312" w:cs="楷体_GB2312"/>
          <w:b w:val="0"/>
          <w:bCs w:val="0"/>
          <w:sz w:val="32"/>
          <w:szCs w:val="32"/>
        </w:rPr>
        <w:t>部门履职管理方面。</w:t>
      </w:r>
      <w:r>
        <w:rPr>
          <w:rFonts w:hint="eastAsia" w:ascii="仿宋_GB2312" w:eastAsia="仿宋_GB2312"/>
          <w:b w:val="0"/>
          <w:bCs w:val="0"/>
          <w:sz w:val="32"/>
          <w:szCs w:val="32"/>
        </w:rPr>
        <w:t>对照“部分工作仍有欠缺，未完成年初</w:t>
      </w:r>
      <w:r>
        <w:rPr>
          <w:rFonts w:hint="eastAsia" w:ascii="仿宋_GB2312" w:eastAsia="仿宋_GB2312"/>
          <w:b w:val="0"/>
          <w:bCs w:val="0"/>
          <w:sz w:val="32"/>
          <w:szCs w:val="32"/>
          <w:lang w:eastAsia="zh-CN"/>
        </w:rPr>
        <w:t>制</w:t>
      </w:r>
      <w:r>
        <w:rPr>
          <w:rFonts w:hint="eastAsia" w:ascii="仿宋_GB2312" w:eastAsia="仿宋_GB2312"/>
          <w:b w:val="0"/>
          <w:bCs w:val="0"/>
          <w:sz w:val="32"/>
          <w:szCs w:val="32"/>
        </w:rPr>
        <w:t>定目标”的问题。其原因是受到疫情影响，个别部门工作进度滞后。例如电梯加装工作，2022年度项目进展缓慢，截止至2022年底，街道实际完成签约25台，竣工8台，未能达到完成签约50台的年初目标。2023年随着疫情的平稳，各项工作也逐步进入正轨，截止至2023年8月底，街道累计签约加装电梯43台、竣工15台。下半年各预算单位（部门）各项工作正有序开展，力争完成当年度目标。新增就业人数方面，根据区就促中心最新数据显示，截止至2022年12月31日，2022年街道新增就业人数1530人，完成区下达的新增就业人数指标的105.52%。违法用地整治方面，关于盈浦街道整治6处违法用地，目前各项目逐步有序推进，已完成了该项工作区考核指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b w:val="0"/>
          <w:bCs w:val="0"/>
          <w:sz w:val="32"/>
          <w:szCs w:val="32"/>
        </w:rPr>
      </w:pPr>
      <w:r>
        <w:rPr>
          <w:rFonts w:hint="eastAsia" w:ascii="仿宋_GB2312" w:eastAsia="仿宋_GB2312"/>
          <w:b w:val="0"/>
          <w:bCs w:val="0"/>
          <w:sz w:val="32"/>
          <w:szCs w:val="32"/>
          <w:lang w:eastAsia="zh-CN"/>
        </w:rPr>
        <w:t>（二）</w:t>
      </w:r>
      <w:r>
        <w:rPr>
          <w:rFonts w:hint="eastAsia" w:ascii="仿宋_GB2312" w:eastAsia="仿宋_GB2312"/>
          <w:b w:val="0"/>
          <w:bCs w:val="0"/>
          <w:sz w:val="32"/>
          <w:szCs w:val="32"/>
        </w:rPr>
        <w:t>部门合同管理方面。对照“个别合同要素不够完整、个别合同执行存在差异”的问题。一是报告指出在对盈浦街道办事处2022年签订的合同进行抽查时发现个别合同缺少必要要素，譬如缺少合同签订日期等问题，财管办已对各预算单位（部门）财务人员关于盈浦街道内部控制规范以及合同管理再次进行培训，重申街道财务制度，避免类似情况的再次发生。二是抽查时发现个别项目执行力度不够，资金支付时间拖后，与合同约定不一致。针对这一问题，街道领导也十分重视，尤其是各预算项目的资金支付情况也直接影响到了街道整体预算的执行率，因此2023年在街道领导的要求下，财管办每两周会在主任办公会上通报当年度项目执行情况，对于执行力度差、合同即将到期要支付的项目会及时提醒相关职能部门，按时支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b w:val="0"/>
          <w:bCs w:val="0"/>
          <w:sz w:val="32"/>
          <w:szCs w:val="32"/>
        </w:rPr>
      </w:pPr>
      <w:r>
        <w:rPr>
          <w:rFonts w:hint="eastAsia" w:ascii="楷体_GB2312" w:hAnsi="楷体_GB2312" w:eastAsia="楷体_GB2312" w:cs="楷体_GB2312"/>
          <w:b w:val="0"/>
          <w:bCs w:val="0"/>
          <w:sz w:val="32"/>
          <w:szCs w:val="32"/>
          <w:lang w:eastAsia="zh-CN"/>
        </w:rPr>
        <w:t>（三）部门预算管理方面。</w:t>
      </w:r>
      <w:r>
        <w:rPr>
          <w:rFonts w:hint="eastAsia" w:ascii="仿宋_GB2312" w:eastAsia="仿宋_GB2312"/>
          <w:b w:val="0"/>
          <w:bCs w:val="0"/>
          <w:sz w:val="32"/>
          <w:szCs w:val="32"/>
        </w:rPr>
        <w:t>对照“预算编制不够合理，预算调整不够到位”的问题</w:t>
      </w:r>
      <w:r>
        <w:rPr>
          <w:rFonts w:hint="eastAsia" w:ascii="仿宋_GB2312" w:eastAsia="仿宋_GB2312"/>
          <w:b w:val="0"/>
          <w:bCs w:val="0"/>
          <w:sz w:val="32"/>
          <w:szCs w:val="32"/>
          <w:lang w:eastAsia="zh-CN"/>
        </w:rPr>
        <w:t>。</w:t>
      </w:r>
      <w:r>
        <w:rPr>
          <w:rFonts w:hint="eastAsia" w:ascii="仿宋_GB2312" w:eastAsia="仿宋_GB2312"/>
          <w:b w:val="0"/>
          <w:bCs w:val="0"/>
          <w:sz w:val="32"/>
          <w:szCs w:val="32"/>
        </w:rPr>
        <w:t>街道财管办将在2023年预算调整时，根据各单位项目开展进度仔细梳理各项目的执行情况，对于个别不能按时完成的项目及时做调减，提高预算执行率，保证财政资金的使用效率</w:t>
      </w:r>
      <w:r>
        <w:rPr>
          <w:rFonts w:hint="eastAsia" w:ascii="仿宋_GB2312" w:eastAsia="仿宋_GB2312"/>
          <w:b w:val="0"/>
          <w:bCs w:val="0"/>
          <w:sz w:val="32"/>
          <w:szCs w:val="32"/>
          <w:lang w:eastAsia="zh-CN"/>
        </w:rPr>
        <w:t>。</w:t>
      </w:r>
      <w:r>
        <w:rPr>
          <w:rFonts w:hint="eastAsia" w:ascii="仿宋_GB2312" w:eastAsia="仿宋_GB2312"/>
          <w:b w:val="0"/>
          <w:bCs w:val="0"/>
          <w:sz w:val="32"/>
          <w:szCs w:val="32"/>
        </w:rPr>
        <w:t>在编制2024年预算时，合理设置科目、细化项目经费、加强预算编制及执行，进一步使财政资金得到合理分配及使用，提高预算执行率。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b w:val="0"/>
          <w:bCs w:val="0"/>
          <w:sz w:val="32"/>
          <w:szCs w:val="32"/>
          <w:lang w:val="en-US" w:eastAsia="zh-CN"/>
        </w:rPr>
      </w:pPr>
      <w:r>
        <w:rPr>
          <w:rFonts w:hint="eastAsia" w:ascii="楷体_GB2312" w:hAnsi="楷体_GB2312" w:eastAsia="楷体_GB2312" w:cs="楷体_GB2312"/>
          <w:b w:val="0"/>
          <w:bCs w:val="0"/>
          <w:sz w:val="32"/>
          <w:szCs w:val="32"/>
          <w:lang w:eastAsia="zh-CN"/>
        </w:rPr>
        <w:t>（四）部门绩效管理方面。</w:t>
      </w:r>
      <w:r>
        <w:rPr>
          <w:rFonts w:hint="eastAsia" w:ascii="仿宋_GB2312" w:eastAsia="仿宋_GB2312"/>
          <w:b w:val="0"/>
          <w:bCs w:val="0"/>
          <w:sz w:val="32"/>
          <w:szCs w:val="32"/>
        </w:rPr>
        <w:t>对照“目标设置不够合理，自评工作质量不高”的问题。一是在年初工作计划填报绩效目标时将加强绩效指标是否清晰、细化、可衡量等问题的考虑，围绕党的建设、社区管理、社区服务、社区平安、社区自治、社区发展等工作设置多元化指标，以更好地反映和考核项目绩效目标与项目实施的相符情况，提高预算管理水平</w:t>
      </w:r>
      <w:r>
        <w:rPr>
          <w:rFonts w:hint="eastAsia" w:ascii="仿宋_GB2312" w:eastAsia="仿宋_GB2312"/>
          <w:b w:val="0"/>
          <w:bCs w:val="0"/>
          <w:sz w:val="32"/>
          <w:szCs w:val="32"/>
          <w:lang w:eastAsia="zh-CN"/>
        </w:rPr>
        <w:t>。</w:t>
      </w:r>
      <w:r>
        <w:rPr>
          <w:rFonts w:hint="eastAsia" w:ascii="仿宋_GB2312" w:eastAsia="仿宋_GB2312"/>
          <w:b w:val="0"/>
          <w:bCs w:val="0"/>
          <w:sz w:val="32"/>
          <w:szCs w:val="32"/>
        </w:rPr>
        <w:t>二是结合工作实际加强自评和跟踪工作的落实和开展，及时发现及时整改，并加强上下联动整改，积极落实结果应用，切实改进预算管理和项目管理，提高绩效自评工作质量。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b w:val="0"/>
          <w:bCs w:val="0"/>
          <w:sz w:val="32"/>
          <w:szCs w:val="32"/>
        </w:rPr>
      </w:pPr>
    </w:p>
    <w:sectPr>
      <w:headerReference r:id="rId3" w:type="default"/>
      <w:footerReference r:id="rId4"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等线 Light">
    <w:altName w:val="宋体"/>
    <w:panose1 w:val="02010600030101010101"/>
    <w:charset w:val="86"/>
    <w:family w:val="auto"/>
    <w:pitch w:val="default"/>
    <w:sig w:usb0="00000000" w:usb1="00000000" w:usb2="00000016" w:usb3="00000000" w:csb0="0004000F" w:csb1="00000000"/>
  </w:font>
  <w:font w:name="等线">
    <w:altName w:val="微软雅黑"/>
    <w:panose1 w:val="02010600030101010101"/>
    <w:charset w:val="86"/>
    <w:family w:val="auto"/>
    <w:pitch w:val="default"/>
    <w:sig w:usb0="00000000" w:usb1="00000000" w:usb2="00000016" w:usb3="00000000" w:csb0="0004000F" w:csb1="00000000"/>
  </w:font>
  <w:font w:name="Segoe UI Symbol">
    <w:panose1 w:val="020B0502040204020203"/>
    <w:charset w:val="00"/>
    <w:family w:val="swiss"/>
    <w:pitch w:val="default"/>
    <w:sig w:usb0="8000006F" w:usb1="1200FBEF" w:usb2="0064C000" w:usb3="00000002" w:csb0="00000001" w:csb1="4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97121453"/>
    </w:sdtPr>
    <w:sdtContent>
      <w:p>
        <w:pPr>
          <w:pStyle w:val="19"/>
          <w:jc w:val="center"/>
        </w:pPr>
        <w:r>
          <w:fldChar w:fldCharType="begin"/>
        </w:r>
        <w:r>
          <w:instrText xml:space="preserve">PAGE   \* MERGEFORMAT</w:instrText>
        </w:r>
        <w:r>
          <w:fldChar w:fldCharType="separate"/>
        </w:r>
        <w:r>
          <w:rPr>
            <w:rFonts w:ascii="Times New Roman" w:hAnsi="Times New Roman"/>
            <w:lang w:val="zh-CN"/>
          </w:rPr>
          <w:t>261</w:t>
        </w:r>
        <w: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val="1"/>
  <w:bordersDoNotSurroundFooter w:val="1"/>
  <w:hideSpellingErrors/>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ZkN2Y5ZGMwYWQwY2IxZDM2NjI5ZjliM2YzNDgzNzYifQ=="/>
    <w:docVar w:name="KSO_WPS_MARK_KEY" w:val="2eb657a2-187c-426b-b00d-9d4389bbd3cd"/>
  </w:docVars>
  <w:rsids>
    <w:rsidRoot w:val="00215D9C"/>
    <w:rsid w:val="000005EF"/>
    <w:rsid w:val="00000FC7"/>
    <w:rsid w:val="00002E26"/>
    <w:rsid w:val="000033FC"/>
    <w:rsid w:val="00003771"/>
    <w:rsid w:val="000041B7"/>
    <w:rsid w:val="00004D90"/>
    <w:rsid w:val="00005C9F"/>
    <w:rsid w:val="00005E2D"/>
    <w:rsid w:val="00007DED"/>
    <w:rsid w:val="000108DC"/>
    <w:rsid w:val="00010D90"/>
    <w:rsid w:val="0001107B"/>
    <w:rsid w:val="00011F7B"/>
    <w:rsid w:val="00012BC4"/>
    <w:rsid w:val="000130B0"/>
    <w:rsid w:val="0001549B"/>
    <w:rsid w:val="00016585"/>
    <w:rsid w:val="00016DB8"/>
    <w:rsid w:val="000177E1"/>
    <w:rsid w:val="00021004"/>
    <w:rsid w:val="00021E2D"/>
    <w:rsid w:val="0002246E"/>
    <w:rsid w:val="00023676"/>
    <w:rsid w:val="00023734"/>
    <w:rsid w:val="00023777"/>
    <w:rsid w:val="00026B61"/>
    <w:rsid w:val="00026C01"/>
    <w:rsid w:val="00026ECF"/>
    <w:rsid w:val="00027546"/>
    <w:rsid w:val="00027AFC"/>
    <w:rsid w:val="00030E2D"/>
    <w:rsid w:val="00033712"/>
    <w:rsid w:val="0003451E"/>
    <w:rsid w:val="000368A0"/>
    <w:rsid w:val="00041018"/>
    <w:rsid w:val="000419C7"/>
    <w:rsid w:val="00043F13"/>
    <w:rsid w:val="00044600"/>
    <w:rsid w:val="00045C58"/>
    <w:rsid w:val="00045E6D"/>
    <w:rsid w:val="00051731"/>
    <w:rsid w:val="000535DF"/>
    <w:rsid w:val="00054A07"/>
    <w:rsid w:val="00054C53"/>
    <w:rsid w:val="000556B1"/>
    <w:rsid w:val="00055C30"/>
    <w:rsid w:val="00061B88"/>
    <w:rsid w:val="00063C67"/>
    <w:rsid w:val="000644C3"/>
    <w:rsid w:val="0006472D"/>
    <w:rsid w:val="00064ACE"/>
    <w:rsid w:val="000652B9"/>
    <w:rsid w:val="00065A77"/>
    <w:rsid w:val="000708C1"/>
    <w:rsid w:val="0007208B"/>
    <w:rsid w:val="00072736"/>
    <w:rsid w:val="00073488"/>
    <w:rsid w:val="00073672"/>
    <w:rsid w:val="0007531F"/>
    <w:rsid w:val="0007559B"/>
    <w:rsid w:val="000757F5"/>
    <w:rsid w:val="00082A65"/>
    <w:rsid w:val="00083749"/>
    <w:rsid w:val="00084C31"/>
    <w:rsid w:val="00085497"/>
    <w:rsid w:val="000862FA"/>
    <w:rsid w:val="00086842"/>
    <w:rsid w:val="0008693C"/>
    <w:rsid w:val="00087D0D"/>
    <w:rsid w:val="00087DA6"/>
    <w:rsid w:val="00090173"/>
    <w:rsid w:val="000909F6"/>
    <w:rsid w:val="0009269B"/>
    <w:rsid w:val="00093722"/>
    <w:rsid w:val="00093991"/>
    <w:rsid w:val="00094206"/>
    <w:rsid w:val="00094FE1"/>
    <w:rsid w:val="0009588C"/>
    <w:rsid w:val="000A12BD"/>
    <w:rsid w:val="000A161A"/>
    <w:rsid w:val="000A1B00"/>
    <w:rsid w:val="000A2772"/>
    <w:rsid w:val="000A295B"/>
    <w:rsid w:val="000A499D"/>
    <w:rsid w:val="000A4D84"/>
    <w:rsid w:val="000A614F"/>
    <w:rsid w:val="000B2EBA"/>
    <w:rsid w:val="000B320F"/>
    <w:rsid w:val="000B37FE"/>
    <w:rsid w:val="000B58AF"/>
    <w:rsid w:val="000B5D11"/>
    <w:rsid w:val="000B68DC"/>
    <w:rsid w:val="000B7396"/>
    <w:rsid w:val="000C1D9B"/>
    <w:rsid w:val="000C37C4"/>
    <w:rsid w:val="000C5A80"/>
    <w:rsid w:val="000C7877"/>
    <w:rsid w:val="000D022D"/>
    <w:rsid w:val="000D05DB"/>
    <w:rsid w:val="000D0684"/>
    <w:rsid w:val="000D0BC0"/>
    <w:rsid w:val="000D0EAD"/>
    <w:rsid w:val="000D13C5"/>
    <w:rsid w:val="000D13EC"/>
    <w:rsid w:val="000D1C81"/>
    <w:rsid w:val="000D2027"/>
    <w:rsid w:val="000D25EB"/>
    <w:rsid w:val="000D2D61"/>
    <w:rsid w:val="000D3306"/>
    <w:rsid w:val="000D535E"/>
    <w:rsid w:val="000D58CE"/>
    <w:rsid w:val="000D77BE"/>
    <w:rsid w:val="000E1768"/>
    <w:rsid w:val="000E2B4C"/>
    <w:rsid w:val="000E3217"/>
    <w:rsid w:val="000E3591"/>
    <w:rsid w:val="000E3B90"/>
    <w:rsid w:val="000E3BC3"/>
    <w:rsid w:val="000E4350"/>
    <w:rsid w:val="000E56A0"/>
    <w:rsid w:val="000E7044"/>
    <w:rsid w:val="000E7522"/>
    <w:rsid w:val="000F024E"/>
    <w:rsid w:val="000F050C"/>
    <w:rsid w:val="000F0D73"/>
    <w:rsid w:val="000F25C6"/>
    <w:rsid w:val="000F2A1D"/>
    <w:rsid w:val="000F2A7C"/>
    <w:rsid w:val="000F2FDE"/>
    <w:rsid w:val="000F4674"/>
    <w:rsid w:val="000F5525"/>
    <w:rsid w:val="000F60AC"/>
    <w:rsid w:val="000F6587"/>
    <w:rsid w:val="000F6BEB"/>
    <w:rsid w:val="0010009F"/>
    <w:rsid w:val="0010030A"/>
    <w:rsid w:val="00101CDE"/>
    <w:rsid w:val="00102CE2"/>
    <w:rsid w:val="00103A93"/>
    <w:rsid w:val="00105938"/>
    <w:rsid w:val="00106282"/>
    <w:rsid w:val="0010636F"/>
    <w:rsid w:val="0010649E"/>
    <w:rsid w:val="001108D4"/>
    <w:rsid w:val="00110CCB"/>
    <w:rsid w:val="0011150E"/>
    <w:rsid w:val="00112302"/>
    <w:rsid w:val="00112A6E"/>
    <w:rsid w:val="001135D6"/>
    <w:rsid w:val="00113C92"/>
    <w:rsid w:val="001203B4"/>
    <w:rsid w:val="00121210"/>
    <w:rsid w:val="00121743"/>
    <w:rsid w:val="00122559"/>
    <w:rsid w:val="00122F18"/>
    <w:rsid w:val="00125D58"/>
    <w:rsid w:val="001260FA"/>
    <w:rsid w:val="00127056"/>
    <w:rsid w:val="0013244C"/>
    <w:rsid w:val="001325F6"/>
    <w:rsid w:val="00136A59"/>
    <w:rsid w:val="001410C7"/>
    <w:rsid w:val="0014348C"/>
    <w:rsid w:val="00145526"/>
    <w:rsid w:val="00146E5D"/>
    <w:rsid w:val="00151098"/>
    <w:rsid w:val="00152434"/>
    <w:rsid w:val="00153027"/>
    <w:rsid w:val="0015371A"/>
    <w:rsid w:val="0016087F"/>
    <w:rsid w:val="00164136"/>
    <w:rsid w:val="00164581"/>
    <w:rsid w:val="001649A0"/>
    <w:rsid w:val="001653E1"/>
    <w:rsid w:val="0016620C"/>
    <w:rsid w:val="001679AF"/>
    <w:rsid w:val="00170A15"/>
    <w:rsid w:val="00172BAA"/>
    <w:rsid w:val="00172F83"/>
    <w:rsid w:val="00173D26"/>
    <w:rsid w:val="00180A5E"/>
    <w:rsid w:val="0018193A"/>
    <w:rsid w:val="00181CC6"/>
    <w:rsid w:val="0018232D"/>
    <w:rsid w:val="00182D05"/>
    <w:rsid w:val="001837B8"/>
    <w:rsid w:val="00184FE3"/>
    <w:rsid w:val="00186B60"/>
    <w:rsid w:val="00191F96"/>
    <w:rsid w:val="00193C1C"/>
    <w:rsid w:val="00193C2B"/>
    <w:rsid w:val="00195027"/>
    <w:rsid w:val="001972E1"/>
    <w:rsid w:val="001A0EE6"/>
    <w:rsid w:val="001A2680"/>
    <w:rsid w:val="001A5AAB"/>
    <w:rsid w:val="001A74F6"/>
    <w:rsid w:val="001B05AE"/>
    <w:rsid w:val="001B13C8"/>
    <w:rsid w:val="001B2F3C"/>
    <w:rsid w:val="001B36A6"/>
    <w:rsid w:val="001B4142"/>
    <w:rsid w:val="001B41EE"/>
    <w:rsid w:val="001B4214"/>
    <w:rsid w:val="001B4F39"/>
    <w:rsid w:val="001B708C"/>
    <w:rsid w:val="001B7ED9"/>
    <w:rsid w:val="001C2166"/>
    <w:rsid w:val="001C2CDC"/>
    <w:rsid w:val="001C3C55"/>
    <w:rsid w:val="001C533C"/>
    <w:rsid w:val="001C54F5"/>
    <w:rsid w:val="001C593F"/>
    <w:rsid w:val="001C59F9"/>
    <w:rsid w:val="001C7C73"/>
    <w:rsid w:val="001D012F"/>
    <w:rsid w:val="001D1978"/>
    <w:rsid w:val="001D1C34"/>
    <w:rsid w:val="001D2652"/>
    <w:rsid w:val="001D2A39"/>
    <w:rsid w:val="001D4A7E"/>
    <w:rsid w:val="001D4B64"/>
    <w:rsid w:val="001D5C02"/>
    <w:rsid w:val="001D6AF3"/>
    <w:rsid w:val="001E0FEE"/>
    <w:rsid w:val="001E1854"/>
    <w:rsid w:val="001E1A5B"/>
    <w:rsid w:val="001E3E4E"/>
    <w:rsid w:val="001E4037"/>
    <w:rsid w:val="001E51C3"/>
    <w:rsid w:val="001E5B47"/>
    <w:rsid w:val="001E68EA"/>
    <w:rsid w:val="001F023E"/>
    <w:rsid w:val="001F2188"/>
    <w:rsid w:val="001F5215"/>
    <w:rsid w:val="001F79F5"/>
    <w:rsid w:val="00200BEC"/>
    <w:rsid w:val="00201E34"/>
    <w:rsid w:val="00202627"/>
    <w:rsid w:val="0020421D"/>
    <w:rsid w:val="002069A3"/>
    <w:rsid w:val="00206E32"/>
    <w:rsid w:val="00207DC0"/>
    <w:rsid w:val="00214849"/>
    <w:rsid w:val="002150D1"/>
    <w:rsid w:val="00215CB3"/>
    <w:rsid w:val="00215D9C"/>
    <w:rsid w:val="00216696"/>
    <w:rsid w:val="00217143"/>
    <w:rsid w:val="0022103E"/>
    <w:rsid w:val="00221420"/>
    <w:rsid w:val="00221858"/>
    <w:rsid w:val="00221C0C"/>
    <w:rsid w:val="00222CE6"/>
    <w:rsid w:val="002230F0"/>
    <w:rsid w:val="002236B2"/>
    <w:rsid w:val="002307A7"/>
    <w:rsid w:val="00230F43"/>
    <w:rsid w:val="00232AD1"/>
    <w:rsid w:val="002331B4"/>
    <w:rsid w:val="002331C1"/>
    <w:rsid w:val="00234B9D"/>
    <w:rsid w:val="00234BB4"/>
    <w:rsid w:val="00235A63"/>
    <w:rsid w:val="00236979"/>
    <w:rsid w:val="002410AD"/>
    <w:rsid w:val="002415AF"/>
    <w:rsid w:val="00241E56"/>
    <w:rsid w:val="00244344"/>
    <w:rsid w:val="00245071"/>
    <w:rsid w:val="00246AAA"/>
    <w:rsid w:val="002471C3"/>
    <w:rsid w:val="00247488"/>
    <w:rsid w:val="00256B5F"/>
    <w:rsid w:val="00256CC8"/>
    <w:rsid w:val="00257957"/>
    <w:rsid w:val="00260AB6"/>
    <w:rsid w:val="00261352"/>
    <w:rsid w:val="00261BA7"/>
    <w:rsid w:val="00263E3A"/>
    <w:rsid w:val="0026466E"/>
    <w:rsid w:val="00265AF0"/>
    <w:rsid w:val="00271C97"/>
    <w:rsid w:val="002722CD"/>
    <w:rsid w:val="002733A0"/>
    <w:rsid w:val="00273BEF"/>
    <w:rsid w:val="0027619F"/>
    <w:rsid w:val="00276D66"/>
    <w:rsid w:val="00280014"/>
    <w:rsid w:val="002801A2"/>
    <w:rsid w:val="0028086B"/>
    <w:rsid w:val="00282E0B"/>
    <w:rsid w:val="002833A2"/>
    <w:rsid w:val="002838D0"/>
    <w:rsid w:val="00283AEA"/>
    <w:rsid w:val="002840AA"/>
    <w:rsid w:val="00284612"/>
    <w:rsid w:val="00286C91"/>
    <w:rsid w:val="00286D5C"/>
    <w:rsid w:val="00290552"/>
    <w:rsid w:val="00290729"/>
    <w:rsid w:val="0029233B"/>
    <w:rsid w:val="00293B86"/>
    <w:rsid w:val="00293FF2"/>
    <w:rsid w:val="002971D6"/>
    <w:rsid w:val="00297E24"/>
    <w:rsid w:val="002A17D5"/>
    <w:rsid w:val="002A18B0"/>
    <w:rsid w:val="002A42C0"/>
    <w:rsid w:val="002A682C"/>
    <w:rsid w:val="002A687E"/>
    <w:rsid w:val="002B0395"/>
    <w:rsid w:val="002B0D61"/>
    <w:rsid w:val="002B3BDD"/>
    <w:rsid w:val="002B74A5"/>
    <w:rsid w:val="002B7F78"/>
    <w:rsid w:val="002C0FA9"/>
    <w:rsid w:val="002C16F0"/>
    <w:rsid w:val="002C1E4D"/>
    <w:rsid w:val="002C2006"/>
    <w:rsid w:val="002C22D6"/>
    <w:rsid w:val="002C4807"/>
    <w:rsid w:val="002C5852"/>
    <w:rsid w:val="002C6035"/>
    <w:rsid w:val="002C6A94"/>
    <w:rsid w:val="002C6B3D"/>
    <w:rsid w:val="002C6F51"/>
    <w:rsid w:val="002C752F"/>
    <w:rsid w:val="002C7E27"/>
    <w:rsid w:val="002D0EAF"/>
    <w:rsid w:val="002D1A4D"/>
    <w:rsid w:val="002D1C75"/>
    <w:rsid w:val="002D35DF"/>
    <w:rsid w:val="002D3CD0"/>
    <w:rsid w:val="002D58D4"/>
    <w:rsid w:val="002D5A0D"/>
    <w:rsid w:val="002D5F2B"/>
    <w:rsid w:val="002D6E89"/>
    <w:rsid w:val="002D710E"/>
    <w:rsid w:val="002E1393"/>
    <w:rsid w:val="002E1740"/>
    <w:rsid w:val="002E1EDB"/>
    <w:rsid w:val="002E1F01"/>
    <w:rsid w:val="002E24C3"/>
    <w:rsid w:val="002E478F"/>
    <w:rsid w:val="002E4819"/>
    <w:rsid w:val="002E4FED"/>
    <w:rsid w:val="002E72D3"/>
    <w:rsid w:val="002E7A27"/>
    <w:rsid w:val="002F09EA"/>
    <w:rsid w:val="002F0E07"/>
    <w:rsid w:val="002F2411"/>
    <w:rsid w:val="002F46D6"/>
    <w:rsid w:val="002F68D2"/>
    <w:rsid w:val="002F6B2A"/>
    <w:rsid w:val="002F6DFD"/>
    <w:rsid w:val="002F732B"/>
    <w:rsid w:val="002F7717"/>
    <w:rsid w:val="003055DE"/>
    <w:rsid w:val="00307433"/>
    <w:rsid w:val="00310292"/>
    <w:rsid w:val="00310C85"/>
    <w:rsid w:val="003134F8"/>
    <w:rsid w:val="0031436F"/>
    <w:rsid w:val="00321BB7"/>
    <w:rsid w:val="0032272B"/>
    <w:rsid w:val="00323741"/>
    <w:rsid w:val="0032381B"/>
    <w:rsid w:val="00323A5A"/>
    <w:rsid w:val="00325AEB"/>
    <w:rsid w:val="003264B8"/>
    <w:rsid w:val="003313AE"/>
    <w:rsid w:val="003317B1"/>
    <w:rsid w:val="003346A3"/>
    <w:rsid w:val="00334E04"/>
    <w:rsid w:val="003364A2"/>
    <w:rsid w:val="0033670C"/>
    <w:rsid w:val="00336C78"/>
    <w:rsid w:val="00336EC9"/>
    <w:rsid w:val="00337E07"/>
    <w:rsid w:val="00341B55"/>
    <w:rsid w:val="00342603"/>
    <w:rsid w:val="003458A3"/>
    <w:rsid w:val="00347A50"/>
    <w:rsid w:val="003503CC"/>
    <w:rsid w:val="0035132F"/>
    <w:rsid w:val="00351EBE"/>
    <w:rsid w:val="00352924"/>
    <w:rsid w:val="00353A74"/>
    <w:rsid w:val="00354C24"/>
    <w:rsid w:val="00354DE1"/>
    <w:rsid w:val="00356A9A"/>
    <w:rsid w:val="003601E8"/>
    <w:rsid w:val="00361FA4"/>
    <w:rsid w:val="00363A03"/>
    <w:rsid w:val="00364046"/>
    <w:rsid w:val="00365209"/>
    <w:rsid w:val="003667D8"/>
    <w:rsid w:val="00370A3A"/>
    <w:rsid w:val="00371338"/>
    <w:rsid w:val="00372012"/>
    <w:rsid w:val="00372ACE"/>
    <w:rsid w:val="00372DDB"/>
    <w:rsid w:val="003737FD"/>
    <w:rsid w:val="00374044"/>
    <w:rsid w:val="003749DB"/>
    <w:rsid w:val="00375EE2"/>
    <w:rsid w:val="00381289"/>
    <w:rsid w:val="0038457E"/>
    <w:rsid w:val="00386653"/>
    <w:rsid w:val="00386C48"/>
    <w:rsid w:val="00390EC1"/>
    <w:rsid w:val="00391141"/>
    <w:rsid w:val="003918F6"/>
    <w:rsid w:val="003934DC"/>
    <w:rsid w:val="0039372A"/>
    <w:rsid w:val="00394223"/>
    <w:rsid w:val="00396C7C"/>
    <w:rsid w:val="003A117B"/>
    <w:rsid w:val="003A2046"/>
    <w:rsid w:val="003A3399"/>
    <w:rsid w:val="003A40A4"/>
    <w:rsid w:val="003A5CC7"/>
    <w:rsid w:val="003A6112"/>
    <w:rsid w:val="003A68CC"/>
    <w:rsid w:val="003B32BC"/>
    <w:rsid w:val="003B456B"/>
    <w:rsid w:val="003B4792"/>
    <w:rsid w:val="003B4B9B"/>
    <w:rsid w:val="003B533D"/>
    <w:rsid w:val="003B5385"/>
    <w:rsid w:val="003B767F"/>
    <w:rsid w:val="003C1A01"/>
    <w:rsid w:val="003C2DF4"/>
    <w:rsid w:val="003C3EC3"/>
    <w:rsid w:val="003C4B8E"/>
    <w:rsid w:val="003C546A"/>
    <w:rsid w:val="003D05FE"/>
    <w:rsid w:val="003D0668"/>
    <w:rsid w:val="003D0C49"/>
    <w:rsid w:val="003D23E5"/>
    <w:rsid w:val="003D4F58"/>
    <w:rsid w:val="003D587D"/>
    <w:rsid w:val="003D6427"/>
    <w:rsid w:val="003D78A5"/>
    <w:rsid w:val="003E208B"/>
    <w:rsid w:val="003E25CA"/>
    <w:rsid w:val="003E2BB6"/>
    <w:rsid w:val="003E4689"/>
    <w:rsid w:val="003E4DA0"/>
    <w:rsid w:val="003E55A5"/>
    <w:rsid w:val="003E583B"/>
    <w:rsid w:val="003E5BDF"/>
    <w:rsid w:val="003E7318"/>
    <w:rsid w:val="003E7741"/>
    <w:rsid w:val="003F0A71"/>
    <w:rsid w:val="003F3DB6"/>
    <w:rsid w:val="003F541E"/>
    <w:rsid w:val="003F557D"/>
    <w:rsid w:val="003F6F0A"/>
    <w:rsid w:val="003F7281"/>
    <w:rsid w:val="003F7B66"/>
    <w:rsid w:val="003F7F9E"/>
    <w:rsid w:val="00401FDA"/>
    <w:rsid w:val="00402E60"/>
    <w:rsid w:val="00404118"/>
    <w:rsid w:val="00404873"/>
    <w:rsid w:val="0040602A"/>
    <w:rsid w:val="004065E9"/>
    <w:rsid w:val="0041148C"/>
    <w:rsid w:val="004142DC"/>
    <w:rsid w:val="00414EFF"/>
    <w:rsid w:val="00417CAC"/>
    <w:rsid w:val="00420E3E"/>
    <w:rsid w:val="00421099"/>
    <w:rsid w:val="00421A04"/>
    <w:rsid w:val="004226F8"/>
    <w:rsid w:val="004243F7"/>
    <w:rsid w:val="0042589A"/>
    <w:rsid w:val="00425F18"/>
    <w:rsid w:val="00425F52"/>
    <w:rsid w:val="00426841"/>
    <w:rsid w:val="00427227"/>
    <w:rsid w:val="00427255"/>
    <w:rsid w:val="004272B9"/>
    <w:rsid w:val="00430878"/>
    <w:rsid w:val="004329FE"/>
    <w:rsid w:val="0043494C"/>
    <w:rsid w:val="00434ADE"/>
    <w:rsid w:val="00435310"/>
    <w:rsid w:val="004353D9"/>
    <w:rsid w:val="00436B4E"/>
    <w:rsid w:val="00440DA7"/>
    <w:rsid w:val="00441F5F"/>
    <w:rsid w:val="00442C36"/>
    <w:rsid w:val="0044488F"/>
    <w:rsid w:val="00445387"/>
    <w:rsid w:val="004453F9"/>
    <w:rsid w:val="00445514"/>
    <w:rsid w:val="0044642C"/>
    <w:rsid w:val="0044709E"/>
    <w:rsid w:val="00451525"/>
    <w:rsid w:val="00451983"/>
    <w:rsid w:val="004528AD"/>
    <w:rsid w:val="00453FBE"/>
    <w:rsid w:val="00454D39"/>
    <w:rsid w:val="0045573D"/>
    <w:rsid w:val="00455EF1"/>
    <w:rsid w:val="0045631F"/>
    <w:rsid w:val="004568CD"/>
    <w:rsid w:val="00457C05"/>
    <w:rsid w:val="00461832"/>
    <w:rsid w:val="00461DB0"/>
    <w:rsid w:val="0046293A"/>
    <w:rsid w:val="0046364F"/>
    <w:rsid w:val="00463E2F"/>
    <w:rsid w:val="00466EDA"/>
    <w:rsid w:val="0046703E"/>
    <w:rsid w:val="00470813"/>
    <w:rsid w:val="00471812"/>
    <w:rsid w:val="00472607"/>
    <w:rsid w:val="00472C7D"/>
    <w:rsid w:val="00475182"/>
    <w:rsid w:val="004762F3"/>
    <w:rsid w:val="0047632A"/>
    <w:rsid w:val="0047645A"/>
    <w:rsid w:val="00480008"/>
    <w:rsid w:val="00480401"/>
    <w:rsid w:val="00480699"/>
    <w:rsid w:val="00481ACC"/>
    <w:rsid w:val="00481F38"/>
    <w:rsid w:val="0048336F"/>
    <w:rsid w:val="004837E4"/>
    <w:rsid w:val="004859C1"/>
    <w:rsid w:val="004863AD"/>
    <w:rsid w:val="00486A26"/>
    <w:rsid w:val="0048717E"/>
    <w:rsid w:val="00490395"/>
    <w:rsid w:val="00490467"/>
    <w:rsid w:val="0049078E"/>
    <w:rsid w:val="00491B00"/>
    <w:rsid w:val="004933AA"/>
    <w:rsid w:val="004944AE"/>
    <w:rsid w:val="00495DC8"/>
    <w:rsid w:val="004977C9"/>
    <w:rsid w:val="004A0CEB"/>
    <w:rsid w:val="004A154C"/>
    <w:rsid w:val="004A3F6A"/>
    <w:rsid w:val="004A5A92"/>
    <w:rsid w:val="004A6089"/>
    <w:rsid w:val="004A7F4E"/>
    <w:rsid w:val="004B2247"/>
    <w:rsid w:val="004B45DE"/>
    <w:rsid w:val="004B5BDA"/>
    <w:rsid w:val="004C0A9B"/>
    <w:rsid w:val="004C467A"/>
    <w:rsid w:val="004C5FDB"/>
    <w:rsid w:val="004C614D"/>
    <w:rsid w:val="004D0239"/>
    <w:rsid w:val="004D37C2"/>
    <w:rsid w:val="004D399A"/>
    <w:rsid w:val="004D44F6"/>
    <w:rsid w:val="004D5BFE"/>
    <w:rsid w:val="004E1033"/>
    <w:rsid w:val="004E2049"/>
    <w:rsid w:val="004E3B21"/>
    <w:rsid w:val="004E3D0A"/>
    <w:rsid w:val="004E41C2"/>
    <w:rsid w:val="004E4E63"/>
    <w:rsid w:val="004E6928"/>
    <w:rsid w:val="004E733E"/>
    <w:rsid w:val="004F20B2"/>
    <w:rsid w:val="004F21F1"/>
    <w:rsid w:val="004F2732"/>
    <w:rsid w:val="004F3202"/>
    <w:rsid w:val="004F504A"/>
    <w:rsid w:val="004F589D"/>
    <w:rsid w:val="004F6CEE"/>
    <w:rsid w:val="0050134C"/>
    <w:rsid w:val="0050154A"/>
    <w:rsid w:val="00504C1B"/>
    <w:rsid w:val="005052B7"/>
    <w:rsid w:val="00505BBD"/>
    <w:rsid w:val="00505E73"/>
    <w:rsid w:val="00506062"/>
    <w:rsid w:val="00506B7E"/>
    <w:rsid w:val="00507830"/>
    <w:rsid w:val="0050796C"/>
    <w:rsid w:val="005109D6"/>
    <w:rsid w:val="0051197B"/>
    <w:rsid w:val="00511F0E"/>
    <w:rsid w:val="0051455C"/>
    <w:rsid w:val="0051578F"/>
    <w:rsid w:val="00516F69"/>
    <w:rsid w:val="00520AC4"/>
    <w:rsid w:val="00523EA3"/>
    <w:rsid w:val="00524593"/>
    <w:rsid w:val="00525E73"/>
    <w:rsid w:val="005278A9"/>
    <w:rsid w:val="005279C8"/>
    <w:rsid w:val="00527B92"/>
    <w:rsid w:val="00534A77"/>
    <w:rsid w:val="00534BB1"/>
    <w:rsid w:val="00536132"/>
    <w:rsid w:val="0053653D"/>
    <w:rsid w:val="005370C0"/>
    <w:rsid w:val="00537AD3"/>
    <w:rsid w:val="00537B3F"/>
    <w:rsid w:val="00537C8A"/>
    <w:rsid w:val="00537E72"/>
    <w:rsid w:val="0054006B"/>
    <w:rsid w:val="0054047C"/>
    <w:rsid w:val="005414EE"/>
    <w:rsid w:val="005432CF"/>
    <w:rsid w:val="00543A60"/>
    <w:rsid w:val="00544FDD"/>
    <w:rsid w:val="00545D88"/>
    <w:rsid w:val="00547FC2"/>
    <w:rsid w:val="00550B86"/>
    <w:rsid w:val="00552CDF"/>
    <w:rsid w:val="0055304A"/>
    <w:rsid w:val="00556255"/>
    <w:rsid w:val="00556CA4"/>
    <w:rsid w:val="00557A47"/>
    <w:rsid w:val="00557BAE"/>
    <w:rsid w:val="00560366"/>
    <w:rsid w:val="00560B25"/>
    <w:rsid w:val="00561A50"/>
    <w:rsid w:val="00562BBA"/>
    <w:rsid w:val="00563038"/>
    <w:rsid w:val="005633F4"/>
    <w:rsid w:val="0056543C"/>
    <w:rsid w:val="00566E07"/>
    <w:rsid w:val="00567122"/>
    <w:rsid w:val="005714C4"/>
    <w:rsid w:val="00572097"/>
    <w:rsid w:val="00572346"/>
    <w:rsid w:val="005726C6"/>
    <w:rsid w:val="00572851"/>
    <w:rsid w:val="00574387"/>
    <w:rsid w:val="00575123"/>
    <w:rsid w:val="00577795"/>
    <w:rsid w:val="005779B3"/>
    <w:rsid w:val="00580886"/>
    <w:rsid w:val="00582220"/>
    <w:rsid w:val="00582907"/>
    <w:rsid w:val="00582BF4"/>
    <w:rsid w:val="00582D94"/>
    <w:rsid w:val="005836C4"/>
    <w:rsid w:val="00583A2E"/>
    <w:rsid w:val="00585B8A"/>
    <w:rsid w:val="00586082"/>
    <w:rsid w:val="005863B5"/>
    <w:rsid w:val="00586A08"/>
    <w:rsid w:val="00587C77"/>
    <w:rsid w:val="00590670"/>
    <w:rsid w:val="00590781"/>
    <w:rsid w:val="00590E14"/>
    <w:rsid w:val="00591991"/>
    <w:rsid w:val="00592994"/>
    <w:rsid w:val="00593F9D"/>
    <w:rsid w:val="0059405E"/>
    <w:rsid w:val="00594F93"/>
    <w:rsid w:val="005954BD"/>
    <w:rsid w:val="005966F9"/>
    <w:rsid w:val="00597E28"/>
    <w:rsid w:val="005A1365"/>
    <w:rsid w:val="005A547D"/>
    <w:rsid w:val="005A560B"/>
    <w:rsid w:val="005B0FCE"/>
    <w:rsid w:val="005B1F6B"/>
    <w:rsid w:val="005B3317"/>
    <w:rsid w:val="005B593F"/>
    <w:rsid w:val="005B7521"/>
    <w:rsid w:val="005C01EE"/>
    <w:rsid w:val="005C0DCF"/>
    <w:rsid w:val="005C14AA"/>
    <w:rsid w:val="005C1649"/>
    <w:rsid w:val="005C1909"/>
    <w:rsid w:val="005C4306"/>
    <w:rsid w:val="005C4314"/>
    <w:rsid w:val="005C56B3"/>
    <w:rsid w:val="005C5D5B"/>
    <w:rsid w:val="005C6735"/>
    <w:rsid w:val="005D0938"/>
    <w:rsid w:val="005D0969"/>
    <w:rsid w:val="005D0BA4"/>
    <w:rsid w:val="005D298A"/>
    <w:rsid w:val="005D2E6D"/>
    <w:rsid w:val="005D3816"/>
    <w:rsid w:val="005D4EDF"/>
    <w:rsid w:val="005D519D"/>
    <w:rsid w:val="005E1A29"/>
    <w:rsid w:val="005E224D"/>
    <w:rsid w:val="005E4C99"/>
    <w:rsid w:val="005E59D1"/>
    <w:rsid w:val="005E5A2E"/>
    <w:rsid w:val="005E70C6"/>
    <w:rsid w:val="005E784B"/>
    <w:rsid w:val="005F1954"/>
    <w:rsid w:val="005F19EA"/>
    <w:rsid w:val="005F4B3A"/>
    <w:rsid w:val="0060099A"/>
    <w:rsid w:val="0060149B"/>
    <w:rsid w:val="00605ABB"/>
    <w:rsid w:val="006062EE"/>
    <w:rsid w:val="006075E9"/>
    <w:rsid w:val="006100C5"/>
    <w:rsid w:val="00611F41"/>
    <w:rsid w:val="00612E76"/>
    <w:rsid w:val="00613B95"/>
    <w:rsid w:val="00613EF1"/>
    <w:rsid w:val="0061492B"/>
    <w:rsid w:val="00614DDB"/>
    <w:rsid w:val="00616DAA"/>
    <w:rsid w:val="00617186"/>
    <w:rsid w:val="00617275"/>
    <w:rsid w:val="00620FCA"/>
    <w:rsid w:val="00621287"/>
    <w:rsid w:val="0062185F"/>
    <w:rsid w:val="00622936"/>
    <w:rsid w:val="00622B40"/>
    <w:rsid w:val="00622CAC"/>
    <w:rsid w:val="0062378B"/>
    <w:rsid w:val="00623883"/>
    <w:rsid w:val="00624E10"/>
    <w:rsid w:val="006250F1"/>
    <w:rsid w:val="00625EC3"/>
    <w:rsid w:val="006266D6"/>
    <w:rsid w:val="006277F0"/>
    <w:rsid w:val="00630902"/>
    <w:rsid w:val="0063134B"/>
    <w:rsid w:val="006324A4"/>
    <w:rsid w:val="006325FB"/>
    <w:rsid w:val="006330E1"/>
    <w:rsid w:val="006338DA"/>
    <w:rsid w:val="00633DA3"/>
    <w:rsid w:val="00634379"/>
    <w:rsid w:val="00634679"/>
    <w:rsid w:val="00634D23"/>
    <w:rsid w:val="00634DE2"/>
    <w:rsid w:val="00634FD3"/>
    <w:rsid w:val="00635659"/>
    <w:rsid w:val="006366EE"/>
    <w:rsid w:val="006369B5"/>
    <w:rsid w:val="0063729F"/>
    <w:rsid w:val="006372C0"/>
    <w:rsid w:val="006379F4"/>
    <w:rsid w:val="00642C59"/>
    <w:rsid w:val="0064396F"/>
    <w:rsid w:val="00644BF1"/>
    <w:rsid w:val="006457E9"/>
    <w:rsid w:val="00645A9F"/>
    <w:rsid w:val="006477FB"/>
    <w:rsid w:val="00647F4A"/>
    <w:rsid w:val="00650E82"/>
    <w:rsid w:val="00651B08"/>
    <w:rsid w:val="00651B16"/>
    <w:rsid w:val="0065331F"/>
    <w:rsid w:val="00653C3A"/>
    <w:rsid w:val="00655090"/>
    <w:rsid w:val="00655F2F"/>
    <w:rsid w:val="006568B9"/>
    <w:rsid w:val="00660184"/>
    <w:rsid w:val="00660D86"/>
    <w:rsid w:val="00662F54"/>
    <w:rsid w:val="0066346F"/>
    <w:rsid w:val="006635E5"/>
    <w:rsid w:val="006636D9"/>
    <w:rsid w:val="006641B2"/>
    <w:rsid w:val="006667B0"/>
    <w:rsid w:val="00666CE1"/>
    <w:rsid w:val="00666FDA"/>
    <w:rsid w:val="00667B5F"/>
    <w:rsid w:val="00671821"/>
    <w:rsid w:val="00671A49"/>
    <w:rsid w:val="00671B1F"/>
    <w:rsid w:val="00671F7E"/>
    <w:rsid w:val="00672A65"/>
    <w:rsid w:val="006743EC"/>
    <w:rsid w:val="00674E3A"/>
    <w:rsid w:val="00675D6A"/>
    <w:rsid w:val="00676E32"/>
    <w:rsid w:val="0067726F"/>
    <w:rsid w:val="00677DAA"/>
    <w:rsid w:val="00681B38"/>
    <w:rsid w:val="00681DDD"/>
    <w:rsid w:val="006825A8"/>
    <w:rsid w:val="00685324"/>
    <w:rsid w:val="00686340"/>
    <w:rsid w:val="00686DE6"/>
    <w:rsid w:val="00690B61"/>
    <w:rsid w:val="00690E2E"/>
    <w:rsid w:val="0069274E"/>
    <w:rsid w:val="0069276D"/>
    <w:rsid w:val="00692A63"/>
    <w:rsid w:val="0069316A"/>
    <w:rsid w:val="00693345"/>
    <w:rsid w:val="006935FA"/>
    <w:rsid w:val="006966B3"/>
    <w:rsid w:val="00696B16"/>
    <w:rsid w:val="006A06E4"/>
    <w:rsid w:val="006A2A4B"/>
    <w:rsid w:val="006A32A8"/>
    <w:rsid w:val="006A4550"/>
    <w:rsid w:val="006A4607"/>
    <w:rsid w:val="006A46BE"/>
    <w:rsid w:val="006A5A95"/>
    <w:rsid w:val="006A6139"/>
    <w:rsid w:val="006A619E"/>
    <w:rsid w:val="006B0935"/>
    <w:rsid w:val="006B2BC2"/>
    <w:rsid w:val="006B508D"/>
    <w:rsid w:val="006B7350"/>
    <w:rsid w:val="006B7745"/>
    <w:rsid w:val="006C0D84"/>
    <w:rsid w:val="006C0EA1"/>
    <w:rsid w:val="006C2647"/>
    <w:rsid w:val="006C3FF9"/>
    <w:rsid w:val="006C4101"/>
    <w:rsid w:val="006C45E3"/>
    <w:rsid w:val="006C493E"/>
    <w:rsid w:val="006C4F14"/>
    <w:rsid w:val="006C643B"/>
    <w:rsid w:val="006C673D"/>
    <w:rsid w:val="006D03A3"/>
    <w:rsid w:val="006D115E"/>
    <w:rsid w:val="006D1838"/>
    <w:rsid w:val="006D3224"/>
    <w:rsid w:val="006D44F8"/>
    <w:rsid w:val="006D5E28"/>
    <w:rsid w:val="006E16B0"/>
    <w:rsid w:val="006E1727"/>
    <w:rsid w:val="006E234F"/>
    <w:rsid w:val="006E3EE1"/>
    <w:rsid w:val="006E4067"/>
    <w:rsid w:val="006E5442"/>
    <w:rsid w:val="006E7946"/>
    <w:rsid w:val="006E7D2D"/>
    <w:rsid w:val="006F0A55"/>
    <w:rsid w:val="006F1979"/>
    <w:rsid w:val="006F19E0"/>
    <w:rsid w:val="006F39E8"/>
    <w:rsid w:val="00703736"/>
    <w:rsid w:val="00705A55"/>
    <w:rsid w:val="00707F6F"/>
    <w:rsid w:val="0071007E"/>
    <w:rsid w:val="00711A21"/>
    <w:rsid w:val="00711DD6"/>
    <w:rsid w:val="007166DC"/>
    <w:rsid w:val="0072013F"/>
    <w:rsid w:val="007204B5"/>
    <w:rsid w:val="00721208"/>
    <w:rsid w:val="0072202D"/>
    <w:rsid w:val="00722DF5"/>
    <w:rsid w:val="007312D2"/>
    <w:rsid w:val="00733EF9"/>
    <w:rsid w:val="007342B0"/>
    <w:rsid w:val="00734E3D"/>
    <w:rsid w:val="007353B1"/>
    <w:rsid w:val="007369B8"/>
    <w:rsid w:val="007374A2"/>
    <w:rsid w:val="00737518"/>
    <w:rsid w:val="00740970"/>
    <w:rsid w:val="00740BE9"/>
    <w:rsid w:val="00741E54"/>
    <w:rsid w:val="00742530"/>
    <w:rsid w:val="00742F1B"/>
    <w:rsid w:val="0075032B"/>
    <w:rsid w:val="00750740"/>
    <w:rsid w:val="00752F02"/>
    <w:rsid w:val="00754BE3"/>
    <w:rsid w:val="0075527D"/>
    <w:rsid w:val="0075549E"/>
    <w:rsid w:val="007555F8"/>
    <w:rsid w:val="00756461"/>
    <w:rsid w:val="007568E6"/>
    <w:rsid w:val="00757E8C"/>
    <w:rsid w:val="00762CF1"/>
    <w:rsid w:val="00763AED"/>
    <w:rsid w:val="00763DC5"/>
    <w:rsid w:val="00765708"/>
    <w:rsid w:val="007659E5"/>
    <w:rsid w:val="00770311"/>
    <w:rsid w:val="007715D2"/>
    <w:rsid w:val="0077262B"/>
    <w:rsid w:val="0077319F"/>
    <w:rsid w:val="00776F49"/>
    <w:rsid w:val="0077756A"/>
    <w:rsid w:val="00780F60"/>
    <w:rsid w:val="00784924"/>
    <w:rsid w:val="00784DF7"/>
    <w:rsid w:val="0078509A"/>
    <w:rsid w:val="0078540F"/>
    <w:rsid w:val="00785E97"/>
    <w:rsid w:val="00790887"/>
    <w:rsid w:val="0079127A"/>
    <w:rsid w:val="007948BB"/>
    <w:rsid w:val="0079579B"/>
    <w:rsid w:val="00795D40"/>
    <w:rsid w:val="0079700B"/>
    <w:rsid w:val="00797315"/>
    <w:rsid w:val="007A0515"/>
    <w:rsid w:val="007A07EB"/>
    <w:rsid w:val="007A21B7"/>
    <w:rsid w:val="007A3891"/>
    <w:rsid w:val="007A6D6F"/>
    <w:rsid w:val="007B00ED"/>
    <w:rsid w:val="007B04C1"/>
    <w:rsid w:val="007B2902"/>
    <w:rsid w:val="007B3E46"/>
    <w:rsid w:val="007B44B7"/>
    <w:rsid w:val="007B4E7E"/>
    <w:rsid w:val="007B6AB7"/>
    <w:rsid w:val="007B7BED"/>
    <w:rsid w:val="007C0738"/>
    <w:rsid w:val="007C1596"/>
    <w:rsid w:val="007C234F"/>
    <w:rsid w:val="007C2667"/>
    <w:rsid w:val="007C2BB6"/>
    <w:rsid w:val="007C428E"/>
    <w:rsid w:val="007C5B55"/>
    <w:rsid w:val="007C6DD4"/>
    <w:rsid w:val="007D2C5D"/>
    <w:rsid w:val="007D325F"/>
    <w:rsid w:val="007D3E4C"/>
    <w:rsid w:val="007D6BF3"/>
    <w:rsid w:val="007E02BD"/>
    <w:rsid w:val="007E0941"/>
    <w:rsid w:val="007E0DCA"/>
    <w:rsid w:val="007E1670"/>
    <w:rsid w:val="007E4BC9"/>
    <w:rsid w:val="007E5405"/>
    <w:rsid w:val="007E619D"/>
    <w:rsid w:val="007E6697"/>
    <w:rsid w:val="007E6CC0"/>
    <w:rsid w:val="007E7CC5"/>
    <w:rsid w:val="007F014D"/>
    <w:rsid w:val="007F1E81"/>
    <w:rsid w:val="007F244B"/>
    <w:rsid w:val="007F3154"/>
    <w:rsid w:val="007F6EF5"/>
    <w:rsid w:val="007F7364"/>
    <w:rsid w:val="007F7A20"/>
    <w:rsid w:val="00801B88"/>
    <w:rsid w:val="00806AFE"/>
    <w:rsid w:val="008075C8"/>
    <w:rsid w:val="008079E5"/>
    <w:rsid w:val="00810148"/>
    <w:rsid w:val="0081014E"/>
    <w:rsid w:val="00810F74"/>
    <w:rsid w:val="00811F1C"/>
    <w:rsid w:val="0081328D"/>
    <w:rsid w:val="00813F2D"/>
    <w:rsid w:val="00814F5D"/>
    <w:rsid w:val="008151F3"/>
    <w:rsid w:val="008155AF"/>
    <w:rsid w:val="008172FB"/>
    <w:rsid w:val="00817D4B"/>
    <w:rsid w:val="00820059"/>
    <w:rsid w:val="008202CD"/>
    <w:rsid w:val="008204BD"/>
    <w:rsid w:val="00820BE6"/>
    <w:rsid w:val="00826802"/>
    <w:rsid w:val="00827140"/>
    <w:rsid w:val="0083056C"/>
    <w:rsid w:val="00830BDD"/>
    <w:rsid w:val="0083281D"/>
    <w:rsid w:val="00832C9C"/>
    <w:rsid w:val="0083445F"/>
    <w:rsid w:val="00836336"/>
    <w:rsid w:val="00836D4C"/>
    <w:rsid w:val="00836E80"/>
    <w:rsid w:val="008378C4"/>
    <w:rsid w:val="0084119E"/>
    <w:rsid w:val="00843A97"/>
    <w:rsid w:val="008455E2"/>
    <w:rsid w:val="008458E6"/>
    <w:rsid w:val="00846118"/>
    <w:rsid w:val="008502EB"/>
    <w:rsid w:val="008511AD"/>
    <w:rsid w:val="00851DC2"/>
    <w:rsid w:val="008522A8"/>
    <w:rsid w:val="008524B5"/>
    <w:rsid w:val="00852B1C"/>
    <w:rsid w:val="00853587"/>
    <w:rsid w:val="008535B6"/>
    <w:rsid w:val="00853FBE"/>
    <w:rsid w:val="00856817"/>
    <w:rsid w:val="008569D3"/>
    <w:rsid w:val="0085711B"/>
    <w:rsid w:val="00857887"/>
    <w:rsid w:val="00863CE5"/>
    <w:rsid w:val="0086420E"/>
    <w:rsid w:val="00865C48"/>
    <w:rsid w:val="008677A5"/>
    <w:rsid w:val="00867EF7"/>
    <w:rsid w:val="00871C28"/>
    <w:rsid w:val="00871FAD"/>
    <w:rsid w:val="00874424"/>
    <w:rsid w:val="00874C8F"/>
    <w:rsid w:val="00876581"/>
    <w:rsid w:val="00876978"/>
    <w:rsid w:val="00880008"/>
    <w:rsid w:val="008807EB"/>
    <w:rsid w:val="0088113E"/>
    <w:rsid w:val="00881E71"/>
    <w:rsid w:val="00883438"/>
    <w:rsid w:val="00883B16"/>
    <w:rsid w:val="00883CED"/>
    <w:rsid w:val="008855DB"/>
    <w:rsid w:val="008856B1"/>
    <w:rsid w:val="00885A0D"/>
    <w:rsid w:val="00885BDD"/>
    <w:rsid w:val="00887413"/>
    <w:rsid w:val="00891775"/>
    <w:rsid w:val="0089405B"/>
    <w:rsid w:val="00894469"/>
    <w:rsid w:val="00894C01"/>
    <w:rsid w:val="008971AE"/>
    <w:rsid w:val="00897209"/>
    <w:rsid w:val="00897A96"/>
    <w:rsid w:val="008A1591"/>
    <w:rsid w:val="008A20E2"/>
    <w:rsid w:val="008A2FC3"/>
    <w:rsid w:val="008A305A"/>
    <w:rsid w:val="008B0015"/>
    <w:rsid w:val="008B2813"/>
    <w:rsid w:val="008B3D78"/>
    <w:rsid w:val="008B612A"/>
    <w:rsid w:val="008B731E"/>
    <w:rsid w:val="008C2FFF"/>
    <w:rsid w:val="008C3890"/>
    <w:rsid w:val="008C3C3D"/>
    <w:rsid w:val="008C4143"/>
    <w:rsid w:val="008C6548"/>
    <w:rsid w:val="008C746D"/>
    <w:rsid w:val="008D001A"/>
    <w:rsid w:val="008D04C5"/>
    <w:rsid w:val="008D11F5"/>
    <w:rsid w:val="008D2F7E"/>
    <w:rsid w:val="008D39F6"/>
    <w:rsid w:val="008D3CC6"/>
    <w:rsid w:val="008D536F"/>
    <w:rsid w:val="008D7E47"/>
    <w:rsid w:val="008D7FED"/>
    <w:rsid w:val="008E00E3"/>
    <w:rsid w:val="008E169C"/>
    <w:rsid w:val="008E1A99"/>
    <w:rsid w:val="008E2D03"/>
    <w:rsid w:val="008E2F09"/>
    <w:rsid w:val="008E4F81"/>
    <w:rsid w:val="008E5138"/>
    <w:rsid w:val="008E5CAB"/>
    <w:rsid w:val="008E71A9"/>
    <w:rsid w:val="008F0A53"/>
    <w:rsid w:val="008F2D34"/>
    <w:rsid w:val="008F3B7C"/>
    <w:rsid w:val="008F6482"/>
    <w:rsid w:val="008F68E0"/>
    <w:rsid w:val="00901071"/>
    <w:rsid w:val="00902CF2"/>
    <w:rsid w:val="00906926"/>
    <w:rsid w:val="00907836"/>
    <w:rsid w:val="0091172A"/>
    <w:rsid w:val="00911BCF"/>
    <w:rsid w:val="00912975"/>
    <w:rsid w:val="00913BAE"/>
    <w:rsid w:val="00915400"/>
    <w:rsid w:val="00915CE3"/>
    <w:rsid w:val="00921E4A"/>
    <w:rsid w:val="00921EF6"/>
    <w:rsid w:val="00922648"/>
    <w:rsid w:val="0092435A"/>
    <w:rsid w:val="00924D6F"/>
    <w:rsid w:val="009259F9"/>
    <w:rsid w:val="00925E09"/>
    <w:rsid w:val="009267C5"/>
    <w:rsid w:val="00926909"/>
    <w:rsid w:val="0092746D"/>
    <w:rsid w:val="00927B6A"/>
    <w:rsid w:val="00927CBD"/>
    <w:rsid w:val="00930A46"/>
    <w:rsid w:val="00931D10"/>
    <w:rsid w:val="00931DCD"/>
    <w:rsid w:val="0093254E"/>
    <w:rsid w:val="00933AFC"/>
    <w:rsid w:val="009358E4"/>
    <w:rsid w:val="00937082"/>
    <w:rsid w:val="00937B16"/>
    <w:rsid w:val="00937D08"/>
    <w:rsid w:val="009416D1"/>
    <w:rsid w:val="00941A1C"/>
    <w:rsid w:val="009422B4"/>
    <w:rsid w:val="009425A9"/>
    <w:rsid w:val="00942BB9"/>
    <w:rsid w:val="00943092"/>
    <w:rsid w:val="009434C2"/>
    <w:rsid w:val="00943E93"/>
    <w:rsid w:val="00944D3F"/>
    <w:rsid w:val="00945784"/>
    <w:rsid w:val="009458FB"/>
    <w:rsid w:val="00946338"/>
    <w:rsid w:val="00946B83"/>
    <w:rsid w:val="00951298"/>
    <w:rsid w:val="009540EC"/>
    <w:rsid w:val="00954FEF"/>
    <w:rsid w:val="00956BF4"/>
    <w:rsid w:val="00956D3C"/>
    <w:rsid w:val="00961480"/>
    <w:rsid w:val="00962C9F"/>
    <w:rsid w:val="00963CB6"/>
    <w:rsid w:val="00965527"/>
    <w:rsid w:val="00967032"/>
    <w:rsid w:val="00967DBA"/>
    <w:rsid w:val="00971018"/>
    <w:rsid w:val="0097182C"/>
    <w:rsid w:val="009740D8"/>
    <w:rsid w:val="00974714"/>
    <w:rsid w:val="00975FD8"/>
    <w:rsid w:val="00976ADC"/>
    <w:rsid w:val="00976BF1"/>
    <w:rsid w:val="00977390"/>
    <w:rsid w:val="0098270C"/>
    <w:rsid w:val="00984893"/>
    <w:rsid w:val="00984FF0"/>
    <w:rsid w:val="0098510A"/>
    <w:rsid w:val="009855AD"/>
    <w:rsid w:val="00985A5D"/>
    <w:rsid w:val="009863E0"/>
    <w:rsid w:val="009917F8"/>
    <w:rsid w:val="00991A31"/>
    <w:rsid w:val="0099218F"/>
    <w:rsid w:val="00993A36"/>
    <w:rsid w:val="00995E94"/>
    <w:rsid w:val="009A074E"/>
    <w:rsid w:val="009A0989"/>
    <w:rsid w:val="009A18B1"/>
    <w:rsid w:val="009A208F"/>
    <w:rsid w:val="009A2419"/>
    <w:rsid w:val="009A4383"/>
    <w:rsid w:val="009A70EF"/>
    <w:rsid w:val="009A7683"/>
    <w:rsid w:val="009B035E"/>
    <w:rsid w:val="009B0E09"/>
    <w:rsid w:val="009B1E9C"/>
    <w:rsid w:val="009B22D7"/>
    <w:rsid w:val="009B2304"/>
    <w:rsid w:val="009B2921"/>
    <w:rsid w:val="009B2E9A"/>
    <w:rsid w:val="009B4695"/>
    <w:rsid w:val="009B4CE7"/>
    <w:rsid w:val="009B6663"/>
    <w:rsid w:val="009B6A08"/>
    <w:rsid w:val="009B6D32"/>
    <w:rsid w:val="009B7C20"/>
    <w:rsid w:val="009C119B"/>
    <w:rsid w:val="009C1A72"/>
    <w:rsid w:val="009C3692"/>
    <w:rsid w:val="009C3C0A"/>
    <w:rsid w:val="009C417E"/>
    <w:rsid w:val="009C51FA"/>
    <w:rsid w:val="009C58DC"/>
    <w:rsid w:val="009C5EA3"/>
    <w:rsid w:val="009C7006"/>
    <w:rsid w:val="009D1514"/>
    <w:rsid w:val="009D2424"/>
    <w:rsid w:val="009D4037"/>
    <w:rsid w:val="009D540F"/>
    <w:rsid w:val="009D5F9F"/>
    <w:rsid w:val="009D7253"/>
    <w:rsid w:val="009E0555"/>
    <w:rsid w:val="009E0559"/>
    <w:rsid w:val="009E0F18"/>
    <w:rsid w:val="009E3267"/>
    <w:rsid w:val="009E55F7"/>
    <w:rsid w:val="009F0FEE"/>
    <w:rsid w:val="009F215C"/>
    <w:rsid w:val="009F34E2"/>
    <w:rsid w:val="009F4D09"/>
    <w:rsid w:val="009F5C64"/>
    <w:rsid w:val="009F60B1"/>
    <w:rsid w:val="009F71DF"/>
    <w:rsid w:val="009F7457"/>
    <w:rsid w:val="00A015EC"/>
    <w:rsid w:val="00A020CC"/>
    <w:rsid w:val="00A034DF"/>
    <w:rsid w:val="00A03952"/>
    <w:rsid w:val="00A04FD3"/>
    <w:rsid w:val="00A06134"/>
    <w:rsid w:val="00A06300"/>
    <w:rsid w:val="00A0655D"/>
    <w:rsid w:val="00A06B18"/>
    <w:rsid w:val="00A105B6"/>
    <w:rsid w:val="00A10D3A"/>
    <w:rsid w:val="00A1410A"/>
    <w:rsid w:val="00A175F5"/>
    <w:rsid w:val="00A21675"/>
    <w:rsid w:val="00A224F4"/>
    <w:rsid w:val="00A22982"/>
    <w:rsid w:val="00A24B77"/>
    <w:rsid w:val="00A24BCE"/>
    <w:rsid w:val="00A24CAF"/>
    <w:rsid w:val="00A267D0"/>
    <w:rsid w:val="00A271C0"/>
    <w:rsid w:val="00A2776D"/>
    <w:rsid w:val="00A27A1F"/>
    <w:rsid w:val="00A30B1D"/>
    <w:rsid w:val="00A31CF7"/>
    <w:rsid w:val="00A325F4"/>
    <w:rsid w:val="00A32D27"/>
    <w:rsid w:val="00A32EE5"/>
    <w:rsid w:val="00A3449E"/>
    <w:rsid w:val="00A34989"/>
    <w:rsid w:val="00A35AA2"/>
    <w:rsid w:val="00A361B7"/>
    <w:rsid w:val="00A377A0"/>
    <w:rsid w:val="00A41466"/>
    <w:rsid w:val="00A42B5F"/>
    <w:rsid w:val="00A4437B"/>
    <w:rsid w:val="00A44B30"/>
    <w:rsid w:val="00A45336"/>
    <w:rsid w:val="00A46597"/>
    <w:rsid w:val="00A46B32"/>
    <w:rsid w:val="00A47DA0"/>
    <w:rsid w:val="00A501DE"/>
    <w:rsid w:val="00A5233B"/>
    <w:rsid w:val="00A52D97"/>
    <w:rsid w:val="00A556EE"/>
    <w:rsid w:val="00A56006"/>
    <w:rsid w:val="00A56ACE"/>
    <w:rsid w:val="00A61232"/>
    <w:rsid w:val="00A6179C"/>
    <w:rsid w:val="00A6254A"/>
    <w:rsid w:val="00A65144"/>
    <w:rsid w:val="00A670AA"/>
    <w:rsid w:val="00A6721F"/>
    <w:rsid w:val="00A67BB1"/>
    <w:rsid w:val="00A70927"/>
    <w:rsid w:val="00A72ACE"/>
    <w:rsid w:val="00A752D1"/>
    <w:rsid w:val="00A76350"/>
    <w:rsid w:val="00A77348"/>
    <w:rsid w:val="00A7772C"/>
    <w:rsid w:val="00A8006A"/>
    <w:rsid w:val="00A8027D"/>
    <w:rsid w:val="00A80CCC"/>
    <w:rsid w:val="00A8179E"/>
    <w:rsid w:val="00A81EE7"/>
    <w:rsid w:val="00A85A32"/>
    <w:rsid w:val="00A865E9"/>
    <w:rsid w:val="00A8729F"/>
    <w:rsid w:val="00A91F56"/>
    <w:rsid w:val="00A936D1"/>
    <w:rsid w:val="00A938FE"/>
    <w:rsid w:val="00AA0130"/>
    <w:rsid w:val="00AA1D86"/>
    <w:rsid w:val="00AA222D"/>
    <w:rsid w:val="00AA283A"/>
    <w:rsid w:val="00AA39FC"/>
    <w:rsid w:val="00AA3C39"/>
    <w:rsid w:val="00AA4B1A"/>
    <w:rsid w:val="00AA4CA2"/>
    <w:rsid w:val="00AA62B2"/>
    <w:rsid w:val="00AA650A"/>
    <w:rsid w:val="00AA7AA1"/>
    <w:rsid w:val="00AA7DEF"/>
    <w:rsid w:val="00AA7FE5"/>
    <w:rsid w:val="00AB146A"/>
    <w:rsid w:val="00AB1FDF"/>
    <w:rsid w:val="00AB4C88"/>
    <w:rsid w:val="00AB4F5F"/>
    <w:rsid w:val="00AB7ABF"/>
    <w:rsid w:val="00AC26D1"/>
    <w:rsid w:val="00AC4B80"/>
    <w:rsid w:val="00AC6982"/>
    <w:rsid w:val="00AD069F"/>
    <w:rsid w:val="00AD10C5"/>
    <w:rsid w:val="00AD1474"/>
    <w:rsid w:val="00AD1F75"/>
    <w:rsid w:val="00AD3434"/>
    <w:rsid w:val="00AE4C58"/>
    <w:rsid w:val="00AE5464"/>
    <w:rsid w:val="00AE5521"/>
    <w:rsid w:val="00AE55F5"/>
    <w:rsid w:val="00AE59E6"/>
    <w:rsid w:val="00AE64BB"/>
    <w:rsid w:val="00AF01BA"/>
    <w:rsid w:val="00AF0637"/>
    <w:rsid w:val="00AF23D7"/>
    <w:rsid w:val="00AF783A"/>
    <w:rsid w:val="00AF7E24"/>
    <w:rsid w:val="00B00128"/>
    <w:rsid w:val="00B008E2"/>
    <w:rsid w:val="00B0090F"/>
    <w:rsid w:val="00B01807"/>
    <w:rsid w:val="00B05A32"/>
    <w:rsid w:val="00B05C34"/>
    <w:rsid w:val="00B05E8D"/>
    <w:rsid w:val="00B060BF"/>
    <w:rsid w:val="00B10E44"/>
    <w:rsid w:val="00B10EA2"/>
    <w:rsid w:val="00B129F8"/>
    <w:rsid w:val="00B12C93"/>
    <w:rsid w:val="00B12CF3"/>
    <w:rsid w:val="00B12F04"/>
    <w:rsid w:val="00B13435"/>
    <w:rsid w:val="00B14B63"/>
    <w:rsid w:val="00B15B29"/>
    <w:rsid w:val="00B1677D"/>
    <w:rsid w:val="00B225D8"/>
    <w:rsid w:val="00B273AC"/>
    <w:rsid w:val="00B32FA0"/>
    <w:rsid w:val="00B3308A"/>
    <w:rsid w:val="00B33283"/>
    <w:rsid w:val="00B33B70"/>
    <w:rsid w:val="00B349DF"/>
    <w:rsid w:val="00B35F38"/>
    <w:rsid w:val="00B36459"/>
    <w:rsid w:val="00B366BD"/>
    <w:rsid w:val="00B37156"/>
    <w:rsid w:val="00B406B4"/>
    <w:rsid w:val="00B413DF"/>
    <w:rsid w:val="00B42228"/>
    <w:rsid w:val="00B42D52"/>
    <w:rsid w:val="00B4457E"/>
    <w:rsid w:val="00B447A1"/>
    <w:rsid w:val="00B44825"/>
    <w:rsid w:val="00B449B5"/>
    <w:rsid w:val="00B44B1A"/>
    <w:rsid w:val="00B466B8"/>
    <w:rsid w:val="00B46CDE"/>
    <w:rsid w:val="00B47CB9"/>
    <w:rsid w:val="00B47E67"/>
    <w:rsid w:val="00B532E8"/>
    <w:rsid w:val="00B536E8"/>
    <w:rsid w:val="00B55406"/>
    <w:rsid w:val="00B55A7A"/>
    <w:rsid w:val="00B5606E"/>
    <w:rsid w:val="00B568C6"/>
    <w:rsid w:val="00B56D77"/>
    <w:rsid w:val="00B60611"/>
    <w:rsid w:val="00B60D61"/>
    <w:rsid w:val="00B61629"/>
    <w:rsid w:val="00B66BA9"/>
    <w:rsid w:val="00B67E09"/>
    <w:rsid w:val="00B7035B"/>
    <w:rsid w:val="00B7077A"/>
    <w:rsid w:val="00B70C90"/>
    <w:rsid w:val="00B714DA"/>
    <w:rsid w:val="00B71D3D"/>
    <w:rsid w:val="00B726DB"/>
    <w:rsid w:val="00B734BE"/>
    <w:rsid w:val="00B76757"/>
    <w:rsid w:val="00B76A31"/>
    <w:rsid w:val="00B76A65"/>
    <w:rsid w:val="00B80161"/>
    <w:rsid w:val="00B84101"/>
    <w:rsid w:val="00B85071"/>
    <w:rsid w:val="00B854EF"/>
    <w:rsid w:val="00B870C6"/>
    <w:rsid w:val="00B876E5"/>
    <w:rsid w:val="00B905BF"/>
    <w:rsid w:val="00B95E46"/>
    <w:rsid w:val="00B9693E"/>
    <w:rsid w:val="00BA11AF"/>
    <w:rsid w:val="00BA1D8F"/>
    <w:rsid w:val="00BA2026"/>
    <w:rsid w:val="00BA56B3"/>
    <w:rsid w:val="00BA6124"/>
    <w:rsid w:val="00BA6710"/>
    <w:rsid w:val="00BA7430"/>
    <w:rsid w:val="00BA7AF9"/>
    <w:rsid w:val="00BB45AB"/>
    <w:rsid w:val="00BB47F9"/>
    <w:rsid w:val="00BB488A"/>
    <w:rsid w:val="00BC17EA"/>
    <w:rsid w:val="00BC49A3"/>
    <w:rsid w:val="00BC49F9"/>
    <w:rsid w:val="00BC5573"/>
    <w:rsid w:val="00BC6874"/>
    <w:rsid w:val="00BC7911"/>
    <w:rsid w:val="00BD0EDC"/>
    <w:rsid w:val="00BD29F2"/>
    <w:rsid w:val="00BD46F3"/>
    <w:rsid w:val="00BD4CF4"/>
    <w:rsid w:val="00BD5652"/>
    <w:rsid w:val="00BD6578"/>
    <w:rsid w:val="00BD68AF"/>
    <w:rsid w:val="00BD6D67"/>
    <w:rsid w:val="00BD76F3"/>
    <w:rsid w:val="00BE21D3"/>
    <w:rsid w:val="00BE26C5"/>
    <w:rsid w:val="00BE6C38"/>
    <w:rsid w:val="00BF0477"/>
    <w:rsid w:val="00BF456C"/>
    <w:rsid w:val="00BF4B37"/>
    <w:rsid w:val="00BF59F1"/>
    <w:rsid w:val="00BF5AC8"/>
    <w:rsid w:val="00BF6E60"/>
    <w:rsid w:val="00BF73BD"/>
    <w:rsid w:val="00BF762C"/>
    <w:rsid w:val="00C01A09"/>
    <w:rsid w:val="00C02DAD"/>
    <w:rsid w:val="00C03DC5"/>
    <w:rsid w:val="00C047F2"/>
    <w:rsid w:val="00C04B2E"/>
    <w:rsid w:val="00C04E03"/>
    <w:rsid w:val="00C0707D"/>
    <w:rsid w:val="00C0719B"/>
    <w:rsid w:val="00C12867"/>
    <w:rsid w:val="00C12DF8"/>
    <w:rsid w:val="00C1567B"/>
    <w:rsid w:val="00C163E9"/>
    <w:rsid w:val="00C175DD"/>
    <w:rsid w:val="00C20FA3"/>
    <w:rsid w:val="00C212F8"/>
    <w:rsid w:val="00C25368"/>
    <w:rsid w:val="00C2556B"/>
    <w:rsid w:val="00C26389"/>
    <w:rsid w:val="00C26F96"/>
    <w:rsid w:val="00C27AF9"/>
    <w:rsid w:val="00C30D2E"/>
    <w:rsid w:val="00C34BFE"/>
    <w:rsid w:val="00C36261"/>
    <w:rsid w:val="00C36FB9"/>
    <w:rsid w:val="00C4309D"/>
    <w:rsid w:val="00C442ED"/>
    <w:rsid w:val="00C449C8"/>
    <w:rsid w:val="00C46CD7"/>
    <w:rsid w:val="00C506C9"/>
    <w:rsid w:val="00C51ACA"/>
    <w:rsid w:val="00C51E9B"/>
    <w:rsid w:val="00C557B1"/>
    <w:rsid w:val="00C5660D"/>
    <w:rsid w:val="00C57E2D"/>
    <w:rsid w:val="00C60C85"/>
    <w:rsid w:val="00C614FB"/>
    <w:rsid w:val="00C62037"/>
    <w:rsid w:val="00C62588"/>
    <w:rsid w:val="00C6466C"/>
    <w:rsid w:val="00C64C2D"/>
    <w:rsid w:val="00C655A8"/>
    <w:rsid w:val="00C65656"/>
    <w:rsid w:val="00C66297"/>
    <w:rsid w:val="00C66C9F"/>
    <w:rsid w:val="00C675EE"/>
    <w:rsid w:val="00C70CFA"/>
    <w:rsid w:val="00C70F28"/>
    <w:rsid w:val="00C710C2"/>
    <w:rsid w:val="00C71EFB"/>
    <w:rsid w:val="00C728D0"/>
    <w:rsid w:val="00C73604"/>
    <w:rsid w:val="00C73AB1"/>
    <w:rsid w:val="00C74952"/>
    <w:rsid w:val="00C7605F"/>
    <w:rsid w:val="00C76592"/>
    <w:rsid w:val="00C771C7"/>
    <w:rsid w:val="00C77DD2"/>
    <w:rsid w:val="00C8045F"/>
    <w:rsid w:val="00C81CD4"/>
    <w:rsid w:val="00C832A6"/>
    <w:rsid w:val="00C83882"/>
    <w:rsid w:val="00C83DED"/>
    <w:rsid w:val="00C852C5"/>
    <w:rsid w:val="00C87C76"/>
    <w:rsid w:val="00C87F31"/>
    <w:rsid w:val="00C87F53"/>
    <w:rsid w:val="00C87FE9"/>
    <w:rsid w:val="00C9053D"/>
    <w:rsid w:val="00C90C5D"/>
    <w:rsid w:val="00C91E23"/>
    <w:rsid w:val="00C9465E"/>
    <w:rsid w:val="00C94F74"/>
    <w:rsid w:val="00C9538B"/>
    <w:rsid w:val="00C955FD"/>
    <w:rsid w:val="00C961DF"/>
    <w:rsid w:val="00C9687C"/>
    <w:rsid w:val="00C96B47"/>
    <w:rsid w:val="00C97FEA"/>
    <w:rsid w:val="00CA052C"/>
    <w:rsid w:val="00CA202E"/>
    <w:rsid w:val="00CA20EC"/>
    <w:rsid w:val="00CA3654"/>
    <w:rsid w:val="00CA3870"/>
    <w:rsid w:val="00CA4F61"/>
    <w:rsid w:val="00CA4FE2"/>
    <w:rsid w:val="00CA6566"/>
    <w:rsid w:val="00CA67C5"/>
    <w:rsid w:val="00CA79AE"/>
    <w:rsid w:val="00CB071C"/>
    <w:rsid w:val="00CB0CC0"/>
    <w:rsid w:val="00CB106D"/>
    <w:rsid w:val="00CB1AE3"/>
    <w:rsid w:val="00CB23C0"/>
    <w:rsid w:val="00CB3875"/>
    <w:rsid w:val="00CB3E19"/>
    <w:rsid w:val="00CB457E"/>
    <w:rsid w:val="00CB4EBE"/>
    <w:rsid w:val="00CB553A"/>
    <w:rsid w:val="00CB5BB5"/>
    <w:rsid w:val="00CB6126"/>
    <w:rsid w:val="00CB7747"/>
    <w:rsid w:val="00CB7803"/>
    <w:rsid w:val="00CC0281"/>
    <w:rsid w:val="00CC0E2F"/>
    <w:rsid w:val="00CC2384"/>
    <w:rsid w:val="00CC39C5"/>
    <w:rsid w:val="00CC5DC6"/>
    <w:rsid w:val="00CC71B4"/>
    <w:rsid w:val="00CC7A63"/>
    <w:rsid w:val="00CD1C8C"/>
    <w:rsid w:val="00CD2C3B"/>
    <w:rsid w:val="00CD36C3"/>
    <w:rsid w:val="00CD38DA"/>
    <w:rsid w:val="00CD5910"/>
    <w:rsid w:val="00CD5D10"/>
    <w:rsid w:val="00CE0612"/>
    <w:rsid w:val="00CE0692"/>
    <w:rsid w:val="00CE23D1"/>
    <w:rsid w:val="00CE37C3"/>
    <w:rsid w:val="00CE3EC2"/>
    <w:rsid w:val="00CE5D22"/>
    <w:rsid w:val="00CE5D45"/>
    <w:rsid w:val="00CF357A"/>
    <w:rsid w:val="00CF4680"/>
    <w:rsid w:val="00CF48AD"/>
    <w:rsid w:val="00CF5D21"/>
    <w:rsid w:val="00CF7148"/>
    <w:rsid w:val="00D00A2C"/>
    <w:rsid w:val="00D01413"/>
    <w:rsid w:val="00D01994"/>
    <w:rsid w:val="00D030C0"/>
    <w:rsid w:val="00D031BC"/>
    <w:rsid w:val="00D035CA"/>
    <w:rsid w:val="00D040E0"/>
    <w:rsid w:val="00D04E43"/>
    <w:rsid w:val="00D04F4C"/>
    <w:rsid w:val="00D058DE"/>
    <w:rsid w:val="00D126A5"/>
    <w:rsid w:val="00D13535"/>
    <w:rsid w:val="00D1449A"/>
    <w:rsid w:val="00D14964"/>
    <w:rsid w:val="00D1613C"/>
    <w:rsid w:val="00D173BC"/>
    <w:rsid w:val="00D203C0"/>
    <w:rsid w:val="00D231A5"/>
    <w:rsid w:val="00D24327"/>
    <w:rsid w:val="00D25E77"/>
    <w:rsid w:val="00D26344"/>
    <w:rsid w:val="00D26CDC"/>
    <w:rsid w:val="00D27012"/>
    <w:rsid w:val="00D27CD6"/>
    <w:rsid w:val="00D309DA"/>
    <w:rsid w:val="00D324DE"/>
    <w:rsid w:val="00D34A1C"/>
    <w:rsid w:val="00D365C8"/>
    <w:rsid w:val="00D37219"/>
    <w:rsid w:val="00D409B7"/>
    <w:rsid w:val="00D41238"/>
    <w:rsid w:val="00D43A71"/>
    <w:rsid w:val="00D4403C"/>
    <w:rsid w:val="00D45430"/>
    <w:rsid w:val="00D51A56"/>
    <w:rsid w:val="00D550BB"/>
    <w:rsid w:val="00D55D87"/>
    <w:rsid w:val="00D6138C"/>
    <w:rsid w:val="00D641A0"/>
    <w:rsid w:val="00D65F59"/>
    <w:rsid w:val="00D65FCE"/>
    <w:rsid w:val="00D66D39"/>
    <w:rsid w:val="00D67258"/>
    <w:rsid w:val="00D705A3"/>
    <w:rsid w:val="00D713EE"/>
    <w:rsid w:val="00D721A5"/>
    <w:rsid w:val="00D73807"/>
    <w:rsid w:val="00D75ABA"/>
    <w:rsid w:val="00D75C46"/>
    <w:rsid w:val="00D75FEA"/>
    <w:rsid w:val="00D77D64"/>
    <w:rsid w:val="00D803DA"/>
    <w:rsid w:val="00D81C28"/>
    <w:rsid w:val="00D81DD9"/>
    <w:rsid w:val="00D8258C"/>
    <w:rsid w:val="00D838F4"/>
    <w:rsid w:val="00D84A83"/>
    <w:rsid w:val="00D86DF1"/>
    <w:rsid w:val="00D87261"/>
    <w:rsid w:val="00D90DA3"/>
    <w:rsid w:val="00D91025"/>
    <w:rsid w:val="00D91527"/>
    <w:rsid w:val="00D91F52"/>
    <w:rsid w:val="00D93482"/>
    <w:rsid w:val="00D95305"/>
    <w:rsid w:val="00D95577"/>
    <w:rsid w:val="00DA0915"/>
    <w:rsid w:val="00DA1F12"/>
    <w:rsid w:val="00DA3859"/>
    <w:rsid w:val="00DA5A96"/>
    <w:rsid w:val="00DA5C08"/>
    <w:rsid w:val="00DA6348"/>
    <w:rsid w:val="00DA75C9"/>
    <w:rsid w:val="00DB0760"/>
    <w:rsid w:val="00DB0D97"/>
    <w:rsid w:val="00DB12DB"/>
    <w:rsid w:val="00DB1541"/>
    <w:rsid w:val="00DB338D"/>
    <w:rsid w:val="00DB369A"/>
    <w:rsid w:val="00DB5152"/>
    <w:rsid w:val="00DB69EE"/>
    <w:rsid w:val="00DB6ADF"/>
    <w:rsid w:val="00DC3376"/>
    <w:rsid w:val="00DC5240"/>
    <w:rsid w:val="00DC6D36"/>
    <w:rsid w:val="00DC7AFC"/>
    <w:rsid w:val="00DD0CD5"/>
    <w:rsid w:val="00DD4B0F"/>
    <w:rsid w:val="00DD4F89"/>
    <w:rsid w:val="00DD5C89"/>
    <w:rsid w:val="00DD5EB8"/>
    <w:rsid w:val="00DD6853"/>
    <w:rsid w:val="00DD7EC8"/>
    <w:rsid w:val="00DE0BB6"/>
    <w:rsid w:val="00DE24DE"/>
    <w:rsid w:val="00DE40E8"/>
    <w:rsid w:val="00DE481D"/>
    <w:rsid w:val="00DE4823"/>
    <w:rsid w:val="00DE48CF"/>
    <w:rsid w:val="00DE52C6"/>
    <w:rsid w:val="00DE6026"/>
    <w:rsid w:val="00DE6869"/>
    <w:rsid w:val="00DE7B3D"/>
    <w:rsid w:val="00DF01DC"/>
    <w:rsid w:val="00DF136A"/>
    <w:rsid w:val="00DF227B"/>
    <w:rsid w:val="00E003AB"/>
    <w:rsid w:val="00E011B4"/>
    <w:rsid w:val="00E01D42"/>
    <w:rsid w:val="00E03277"/>
    <w:rsid w:val="00E03CFC"/>
    <w:rsid w:val="00E0428B"/>
    <w:rsid w:val="00E05323"/>
    <w:rsid w:val="00E05D21"/>
    <w:rsid w:val="00E0693D"/>
    <w:rsid w:val="00E1213B"/>
    <w:rsid w:val="00E12A0D"/>
    <w:rsid w:val="00E12A4C"/>
    <w:rsid w:val="00E14818"/>
    <w:rsid w:val="00E15269"/>
    <w:rsid w:val="00E15490"/>
    <w:rsid w:val="00E16319"/>
    <w:rsid w:val="00E16D03"/>
    <w:rsid w:val="00E16F87"/>
    <w:rsid w:val="00E233C1"/>
    <w:rsid w:val="00E2407D"/>
    <w:rsid w:val="00E24361"/>
    <w:rsid w:val="00E255FC"/>
    <w:rsid w:val="00E32715"/>
    <w:rsid w:val="00E33566"/>
    <w:rsid w:val="00E36AEA"/>
    <w:rsid w:val="00E40DF9"/>
    <w:rsid w:val="00E42206"/>
    <w:rsid w:val="00E42979"/>
    <w:rsid w:val="00E44885"/>
    <w:rsid w:val="00E45D75"/>
    <w:rsid w:val="00E4789E"/>
    <w:rsid w:val="00E5196B"/>
    <w:rsid w:val="00E519B7"/>
    <w:rsid w:val="00E525C4"/>
    <w:rsid w:val="00E54608"/>
    <w:rsid w:val="00E549B8"/>
    <w:rsid w:val="00E55076"/>
    <w:rsid w:val="00E55953"/>
    <w:rsid w:val="00E56248"/>
    <w:rsid w:val="00E56EA1"/>
    <w:rsid w:val="00E5775E"/>
    <w:rsid w:val="00E579D7"/>
    <w:rsid w:val="00E57D3F"/>
    <w:rsid w:val="00E60623"/>
    <w:rsid w:val="00E60743"/>
    <w:rsid w:val="00E61148"/>
    <w:rsid w:val="00E63314"/>
    <w:rsid w:val="00E65600"/>
    <w:rsid w:val="00E658DA"/>
    <w:rsid w:val="00E66057"/>
    <w:rsid w:val="00E66DB7"/>
    <w:rsid w:val="00E67034"/>
    <w:rsid w:val="00E70254"/>
    <w:rsid w:val="00E72B65"/>
    <w:rsid w:val="00E730A4"/>
    <w:rsid w:val="00E73341"/>
    <w:rsid w:val="00E735EF"/>
    <w:rsid w:val="00E73A8F"/>
    <w:rsid w:val="00E73BED"/>
    <w:rsid w:val="00E73E62"/>
    <w:rsid w:val="00E74B1A"/>
    <w:rsid w:val="00E74DCE"/>
    <w:rsid w:val="00E77A24"/>
    <w:rsid w:val="00E803F3"/>
    <w:rsid w:val="00E81289"/>
    <w:rsid w:val="00E92400"/>
    <w:rsid w:val="00E930ED"/>
    <w:rsid w:val="00E93454"/>
    <w:rsid w:val="00E95264"/>
    <w:rsid w:val="00E959B5"/>
    <w:rsid w:val="00E966DD"/>
    <w:rsid w:val="00E96F7D"/>
    <w:rsid w:val="00E97F72"/>
    <w:rsid w:val="00EA0112"/>
    <w:rsid w:val="00EA1748"/>
    <w:rsid w:val="00EA2295"/>
    <w:rsid w:val="00EA267D"/>
    <w:rsid w:val="00EA2D9C"/>
    <w:rsid w:val="00EA3066"/>
    <w:rsid w:val="00EA317B"/>
    <w:rsid w:val="00EA3738"/>
    <w:rsid w:val="00EA497F"/>
    <w:rsid w:val="00EB0C9C"/>
    <w:rsid w:val="00EB1631"/>
    <w:rsid w:val="00EB1A2E"/>
    <w:rsid w:val="00EB2B74"/>
    <w:rsid w:val="00EB3396"/>
    <w:rsid w:val="00EB5AB7"/>
    <w:rsid w:val="00EB7F21"/>
    <w:rsid w:val="00EC08A7"/>
    <w:rsid w:val="00EC1E01"/>
    <w:rsid w:val="00EC28F7"/>
    <w:rsid w:val="00EC404C"/>
    <w:rsid w:val="00EC4F95"/>
    <w:rsid w:val="00EC5F4E"/>
    <w:rsid w:val="00EC6C34"/>
    <w:rsid w:val="00EC7721"/>
    <w:rsid w:val="00ED2024"/>
    <w:rsid w:val="00ED6C65"/>
    <w:rsid w:val="00EE00EA"/>
    <w:rsid w:val="00EE05D1"/>
    <w:rsid w:val="00EE1C5D"/>
    <w:rsid w:val="00EE3F38"/>
    <w:rsid w:val="00EE56F9"/>
    <w:rsid w:val="00EF3166"/>
    <w:rsid w:val="00EF4CB8"/>
    <w:rsid w:val="00EF5641"/>
    <w:rsid w:val="00EF674A"/>
    <w:rsid w:val="00EF6F58"/>
    <w:rsid w:val="00EF70F0"/>
    <w:rsid w:val="00F00B50"/>
    <w:rsid w:val="00F00F1A"/>
    <w:rsid w:val="00F02C4D"/>
    <w:rsid w:val="00F034DB"/>
    <w:rsid w:val="00F04B19"/>
    <w:rsid w:val="00F0697A"/>
    <w:rsid w:val="00F07AC5"/>
    <w:rsid w:val="00F11E22"/>
    <w:rsid w:val="00F12B3E"/>
    <w:rsid w:val="00F13851"/>
    <w:rsid w:val="00F14B05"/>
    <w:rsid w:val="00F17781"/>
    <w:rsid w:val="00F203EA"/>
    <w:rsid w:val="00F23C5D"/>
    <w:rsid w:val="00F240E7"/>
    <w:rsid w:val="00F24343"/>
    <w:rsid w:val="00F24C92"/>
    <w:rsid w:val="00F27A28"/>
    <w:rsid w:val="00F27B9E"/>
    <w:rsid w:val="00F31C4E"/>
    <w:rsid w:val="00F32357"/>
    <w:rsid w:val="00F3446B"/>
    <w:rsid w:val="00F35485"/>
    <w:rsid w:val="00F35E90"/>
    <w:rsid w:val="00F40970"/>
    <w:rsid w:val="00F40E6B"/>
    <w:rsid w:val="00F41497"/>
    <w:rsid w:val="00F436DD"/>
    <w:rsid w:val="00F44658"/>
    <w:rsid w:val="00F44C0E"/>
    <w:rsid w:val="00F46270"/>
    <w:rsid w:val="00F501F6"/>
    <w:rsid w:val="00F5053E"/>
    <w:rsid w:val="00F505FB"/>
    <w:rsid w:val="00F517AC"/>
    <w:rsid w:val="00F5251F"/>
    <w:rsid w:val="00F52A89"/>
    <w:rsid w:val="00F53C7A"/>
    <w:rsid w:val="00F553CC"/>
    <w:rsid w:val="00F55400"/>
    <w:rsid w:val="00F55AA3"/>
    <w:rsid w:val="00F56444"/>
    <w:rsid w:val="00F56665"/>
    <w:rsid w:val="00F5666C"/>
    <w:rsid w:val="00F578A0"/>
    <w:rsid w:val="00F618E6"/>
    <w:rsid w:val="00F6386A"/>
    <w:rsid w:val="00F6499A"/>
    <w:rsid w:val="00F65151"/>
    <w:rsid w:val="00F653DB"/>
    <w:rsid w:val="00F66D03"/>
    <w:rsid w:val="00F66E0D"/>
    <w:rsid w:val="00F66F13"/>
    <w:rsid w:val="00F720FD"/>
    <w:rsid w:val="00F72648"/>
    <w:rsid w:val="00F72D05"/>
    <w:rsid w:val="00F7304E"/>
    <w:rsid w:val="00F73646"/>
    <w:rsid w:val="00F74511"/>
    <w:rsid w:val="00F74CF1"/>
    <w:rsid w:val="00F7522B"/>
    <w:rsid w:val="00F76403"/>
    <w:rsid w:val="00F76E82"/>
    <w:rsid w:val="00F77183"/>
    <w:rsid w:val="00F824B2"/>
    <w:rsid w:val="00F8250E"/>
    <w:rsid w:val="00F86CA6"/>
    <w:rsid w:val="00F879D4"/>
    <w:rsid w:val="00F87D17"/>
    <w:rsid w:val="00F87FF9"/>
    <w:rsid w:val="00F9072F"/>
    <w:rsid w:val="00F91178"/>
    <w:rsid w:val="00F91890"/>
    <w:rsid w:val="00F91A33"/>
    <w:rsid w:val="00F936BA"/>
    <w:rsid w:val="00F9385F"/>
    <w:rsid w:val="00F93F56"/>
    <w:rsid w:val="00F94817"/>
    <w:rsid w:val="00F96F91"/>
    <w:rsid w:val="00F97C15"/>
    <w:rsid w:val="00FA01D2"/>
    <w:rsid w:val="00FA4E2E"/>
    <w:rsid w:val="00FA668A"/>
    <w:rsid w:val="00FA680C"/>
    <w:rsid w:val="00FA77BA"/>
    <w:rsid w:val="00FA7B2E"/>
    <w:rsid w:val="00FB0BDE"/>
    <w:rsid w:val="00FB1710"/>
    <w:rsid w:val="00FB2276"/>
    <w:rsid w:val="00FB2B8F"/>
    <w:rsid w:val="00FB30FA"/>
    <w:rsid w:val="00FB321B"/>
    <w:rsid w:val="00FB486B"/>
    <w:rsid w:val="00FB4D3C"/>
    <w:rsid w:val="00FB5BC5"/>
    <w:rsid w:val="00FC142B"/>
    <w:rsid w:val="00FC3FDB"/>
    <w:rsid w:val="00FC4887"/>
    <w:rsid w:val="00FC4A9B"/>
    <w:rsid w:val="00FC5669"/>
    <w:rsid w:val="00FD027D"/>
    <w:rsid w:val="00FD0D92"/>
    <w:rsid w:val="00FD0EA3"/>
    <w:rsid w:val="00FD2A03"/>
    <w:rsid w:val="00FD3395"/>
    <w:rsid w:val="00FD3650"/>
    <w:rsid w:val="00FD37A5"/>
    <w:rsid w:val="00FD40A4"/>
    <w:rsid w:val="00FD4BF5"/>
    <w:rsid w:val="00FD7756"/>
    <w:rsid w:val="00FE1985"/>
    <w:rsid w:val="00FE1FB1"/>
    <w:rsid w:val="00FE2619"/>
    <w:rsid w:val="00FE2A3B"/>
    <w:rsid w:val="00FE540D"/>
    <w:rsid w:val="00FE59E1"/>
    <w:rsid w:val="00FE69E6"/>
    <w:rsid w:val="00FE7389"/>
    <w:rsid w:val="00FE744C"/>
    <w:rsid w:val="00FE74F7"/>
    <w:rsid w:val="00FF229D"/>
    <w:rsid w:val="00FF4D86"/>
    <w:rsid w:val="00FF6626"/>
    <w:rsid w:val="00FF66D2"/>
    <w:rsid w:val="04AE367F"/>
    <w:rsid w:val="08E04AE9"/>
    <w:rsid w:val="0A794981"/>
    <w:rsid w:val="0B0F31B9"/>
    <w:rsid w:val="0B57113B"/>
    <w:rsid w:val="0D1D2C75"/>
    <w:rsid w:val="0DFD1735"/>
    <w:rsid w:val="110E5BD1"/>
    <w:rsid w:val="1653724C"/>
    <w:rsid w:val="16946B78"/>
    <w:rsid w:val="17785BCB"/>
    <w:rsid w:val="19C822BE"/>
    <w:rsid w:val="1D2D2B84"/>
    <w:rsid w:val="1DE63333"/>
    <w:rsid w:val="21C640F3"/>
    <w:rsid w:val="22541459"/>
    <w:rsid w:val="28D25F2A"/>
    <w:rsid w:val="298BF6D2"/>
    <w:rsid w:val="2C202002"/>
    <w:rsid w:val="2F6B4ECE"/>
    <w:rsid w:val="34607383"/>
    <w:rsid w:val="3B3039D2"/>
    <w:rsid w:val="3C9F2928"/>
    <w:rsid w:val="40306512"/>
    <w:rsid w:val="41FD3C55"/>
    <w:rsid w:val="43534486"/>
    <w:rsid w:val="43DB5537"/>
    <w:rsid w:val="45CE552A"/>
    <w:rsid w:val="45D109A0"/>
    <w:rsid w:val="48F03833"/>
    <w:rsid w:val="4C254AA8"/>
    <w:rsid w:val="4E612BB2"/>
    <w:rsid w:val="51FF52CB"/>
    <w:rsid w:val="53733FC5"/>
    <w:rsid w:val="558F0320"/>
    <w:rsid w:val="5925542E"/>
    <w:rsid w:val="5B1F3B03"/>
    <w:rsid w:val="5B420EBE"/>
    <w:rsid w:val="5CB74532"/>
    <w:rsid w:val="60305190"/>
    <w:rsid w:val="61FF6D39"/>
    <w:rsid w:val="62A75FC0"/>
    <w:rsid w:val="637F7B01"/>
    <w:rsid w:val="656425CB"/>
    <w:rsid w:val="68096724"/>
    <w:rsid w:val="699F335A"/>
    <w:rsid w:val="702C2AF3"/>
    <w:rsid w:val="715C2F64"/>
    <w:rsid w:val="7194757D"/>
    <w:rsid w:val="72E574BF"/>
    <w:rsid w:val="73DB402E"/>
    <w:rsid w:val="750E2E16"/>
    <w:rsid w:val="7617536B"/>
    <w:rsid w:val="7C7F21C0"/>
    <w:rsid w:val="7D567E2D"/>
    <w:rsid w:val="7D5D7C05"/>
    <w:rsid w:val="7DD969D7"/>
    <w:rsid w:val="7DEB69A5"/>
    <w:rsid w:val="7F6867C3"/>
    <w:rsid w:val="7FDFE8B3"/>
    <w:rsid w:val="B6B53D4F"/>
    <w:rsid w:val="BBFFB3E2"/>
    <w:rsid w:val="DFE3517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99" w:semiHidden="0"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39"/>
    <w:qFormat/>
    <w:uiPriority w:val="9"/>
    <w:pPr>
      <w:spacing w:before="480"/>
      <w:contextualSpacing/>
      <w:outlineLvl w:val="0"/>
    </w:pPr>
    <w:rPr>
      <w:rFonts w:ascii="Cambria" w:hAnsi="Cambria"/>
      <w:b/>
      <w:bCs/>
      <w:sz w:val="28"/>
      <w:szCs w:val="28"/>
    </w:rPr>
  </w:style>
  <w:style w:type="paragraph" w:styleId="2">
    <w:name w:val="heading 2"/>
    <w:basedOn w:val="1"/>
    <w:next w:val="1"/>
    <w:link w:val="38"/>
    <w:qFormat/>
    <w:uiPriority w:val="9"/>
    <w:pPr>
      <w:spacing w:before="100" w:beforeAutospacing="1" w:after="100" w:afterAutospacing="1"/>
      <w:jc w:val="left"/>
      <w:outlineLvl w:val="1"/>
    </w:pPr>
    <w:rPr>
      <w:rFonts w:hint="eastAsia" w:ascii="宋体" w:hAnsi="宋体"/>
      <w:b/>
      <w:bCs/>
      <w:kern w:val="0"/>
      <w:sz w:val="36"/>
      <w:szCs w:val="36"/>
    </w:rPr>
  </w:style>
  <w:style w:type="paragraph" w:styleId="4">
    <w:name w:val="heading 3"/>
    <w:basedOn w:val="1"/>
    <w:next w:val="1"/>
    <w:link w:val="40"/>
    <w:unhideWhenUsed/>
    <w:qFormat/>
    <w:uiPriority w:val="9"/>
    <w:pPr>
      <w:keepNext/>
      <w:keepLines/>
      <w:spacing w:line="500" w:lineRule="exact"/>
      <w:ind w:firstLine="200" w:firstLineChars="200"/>
      <w:outlineLvl w:val="2"/>
    </w:pPr>
    <w:rPr>
      <w:rFonts w:ascii="黑体" w:hAnsi="黑体" w:eastAsia="黑体" w:cs="黑体"/>
      <w:bCs/>
      <w:sz w:val="24"/>
      <w:szCs w:val="24"/>
    </w:rPr>
  </w:style>
  <w:style w:type="paragraph" w:styleId="5">
    <w:name w:val="heading 4"/>
    <w:basedOn w:val="1"/>
    <w:next w:val="1"/>
    <w:link w:val="41"/>
    <w:unhideWhenUsed/>
    <w:qFormat/>
    <w:uiPriority w:val="9"/>
    <w:pPr>
      <w:keepNext/>
      <w:keepLines/>
      <w:spacing w:before="280" w:after="290" w:line="376" w:lineRule="atLeast"/>
      <w:ind w:firstLine="200" w:firstLineChars="200"/>
      <w:outlineLvl w:val="3"/>
    </w:pPr>
    <w:rPr>
      <w:rFonts w:asciiTheme="majorHAnsi" w:hAnsiTheme="majorHAnsi" w:eastAsiaTheme="majorEastAsia" w:cstheme="majorBidi"/>
      <w:b/>
      <w:bCs/>
      <w:sz w:val="28"/>
      <w:szCs w:val="28"/>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unhideWhenUsed/>
    <w:qFormat/>
    <w:uiPriority w:val="39"/>
    <w:pPr>
      <w:ind w:left="2520" w:leftChars="1200"/>
    </w:pPr>
  </w:style>
  <w:style w:type="paragraph" w:styleId="7">
    <w:name w:val="Normal Indent"/>
    <w:basedOn w:val="1"/>
    <w:unhideWhenUsed/>
    <w:qFormat/>
    <w:uiPriority w:val="99"/>
    <w:pPr>
      <w:spacing w:line="500" w:lineRule="exact"/>
      <w:ind w:firstLine="420" w:firstLineChars="200"/>
    </w:pPr>
    <w:rPr>
      <w:rFonts w:ascii="仿宋" w:hAnsi="仿宋" w:eastAsia="仿宋" w:cs="仿宋"/>
      <w:sz w:val="24"/>
      <w:szCs w:val="24"/>
    </w:rPr>
  </w:style>
  <w:style w:type="paragraph" w:styleId="8">
    <w:name w:val="Document Map"/>
    <w:basedOn w:val="1"/>
    <w:link w:val="42"/>
    <w:semiHidden/>
    <w:unhideWhenUsed/>
    <w:qFormat/>
    <w:uiPriority w:val="99"/>
    <w:rPr>
      <w:rFonts w:ascii="宋体" w:eastAsia="宋体"/>
      <w:sz w:val="18"/>
      <w:szCs w:val="18"/>
    </w:rPr>
  </w:style>
  <w:style w:type="paragraph" w:styleId="9">
    <w:name w:val="annotation text"/>
    <w:basedOn w:val="1"/>
    <w:link w:val="82"/>
    <w:semiHidden/>
    <w:unhideWhenUsed/>
    <w:qFormat/>
    <w:uiPriority w:val="99"/>
    <w:pPr>
      <w:jc w:val="left"/>
    </w:pPr>
  </w:style>
  <w:style w:type="paragraph" w:styleId="10">
    <w:name w:val="Body Text"/>
    <w:basedOn w:val="1"/>
    <w:link w:val="54"/>
    <w:unhideWhenUsed/>
    <w:qFormat/>
    <w:uiPriority w:val="99"/>
    <w:pPr>
      <w:spacing w:before="100" w:beforeAutospacing="1" w:after="120" w:line="500" w:lineRule="exact"/>
      <w:ind w:firstLine="200" w:firstLineChars="200"/>
    </w:pPr>
    <w:rPr>
      <w:rFonts w:ascii="Times New Roman" w:hAnsi="Times New Roman" w:eastAsia="仿宋" w:cs="仿宋"/>
      <w:kern w:val="0"/>
      <w:sz w:val="20"/>
      <w:szCs w:val="20"/>
    </w:rPr>
  </w:style>
  <w:style w:type="paragraph" w:styleId="11">
    <w:name w:val="Body Text Indent"/>
    <w:basedOn w:val="1"/>
    <w:link w:val="55"/>
    <w:unhideWhenUsed/>
    <w:qFormat/>
    <w:uiPriority w:val="99"/>
    <w:pPr>
      <w:spacing w:after="120" w:line="500" w:lineRule="exact"/>
      <w:ind w:left="420" w:leftChars="200" w:firstLine="200" w:firstLineChars="200"/>
    </w:pPr>
    <w:rPr>
      <w:rFonts w:ascii="仿宋" w:hAnsi="仿宋" w:eastAsia="仿宋" w:cs="仿宋"/>
      <w:sz w:val="24"/>
      <w:szCs w:val="24"/>
    </w:rPr>
  </w:style>
  <w:style w:type="paragraph" w:styleId="12">
    <w:name w:val="toc 5"/>
    <w:basedOn w:val="1"/>
    <w:next w:val="1"/>
    <w:unhideWhenUsed/>
    <w:qFormat/>
    <w:uiPriority w:val="39"/>
    <w:pPr>
      <w:ind w:left="1680" w:leftChars="800"/>
    </w:pPr>
  </w:style>
  <w:style w:type="paragraph" w:styleId="13">
    <w:name w:val="toc 3"/>
    <w:basedOn w:val="1"/>
    <w:next w:val="1"/>
    <w:unhideWhenUsed/>
    <w:qFormat/>
    <w:uiPriority w:val="39"/>
    <w:pPr>
      <w:ind w:left="840" w:leftChars="400"/>
    </w:pPr>
  </w:style>
  <w:style w:type="paragraph" w:styleId="14">
    <w:name w:val="toc 8"/>
    <w:basedOn w:val="1"/>
    <w:next w:val="1"/>
    <w:unhideWhenUsed/>
    <w:qFormat/>
    <w:uiPriority w:val="39"/>
    <w:pPr>
      <w:ind w:left="2940" w:leftChars="1400"/>
    </w:pPr>
  </w:style>
  <w:style w:type="paragraph" w:styleId="15">
    <w:name w:val="Date"/>
    <w:basedOn w:val="1"/>
    <w:next w:val="1"/>
    <w:link w:val="67"/>
    <w:semiHidden/>
    <w:unhideWhenUsed/>
    <w:qFormat/>
    <w:uiPriority w:val="99"/>
    <w:pPr>
      <w:spacing w:line="500" w:lineRule="exact"/>
      <w:ind w:left="100" w:leftChars="2500" w:firstLine="200" w:firstLineChars="200"/>
    </w:pPr>
    <w:rPr>
      <w:rFonts w:ascii="仿宋" w:hAnsi="仿宋" w:eastAsia="仿宋" w:cs="仿宋"/>
      <w:sz w:val="24"/>
      <w:szCs w:val="24"/>
    </w:rPr>
  </w:style>
  <w:style w:type="paragraph" w:styleId="16">
    <w:name w:val="Body Text Indent 2"/>
    <w:basedOn w:val="1"/>
    <w:link w:val="56"/>
    <w:semiHidden/>
    <w:unhideWhenUsed/>
    <w:qFormat/>
    <w:uiPriority w:val="99"/>
    <w:pPr>
      <w:spacing w:after="120" w:line="480" w:lineRule="auto"/>
      <w:ind w:left="420" w:leftChars="200" w:firstLine="200" w:firstLineChars="200"/>
    </w:pPr>
    <w:rPr>
      <w:rFonts w:ascii="仿宋" w:hAnsi="仿宋" w:eastAsia="仿宋" w:cs="仿宋"/>
      <w:sz w:val="24"/>
      <w:szCs w:val="24"/>
    </w:rPr>
  </w:style>
  <w:style w:type="paragraph" w:styleId="17">
    <w:name w:val="endnote text"/>
    <w:basedOn w:val="1"/>
    <w:link w:val="43"/>
    <w:semiHidden/>
    <w:unhideWhenUsed/>
    <w:qFormat/>
    <w:uiPriority w:val="99"/>
    <w:pPr>
      <w:snapToGrid w:val="0"/>
      <w:jc w:val="left"/>
    </w:pPr>
  </w:style>
  <w:style w:type="paragraph" w:styleId="18">
    <w:name w:val="Balloon Text"/>
    <w:basedOn w:val="1"/>
    <w:link w:val="44"/>
    <w:semiHidden/>
    <w:unhideWhenUsed/>
    <w:qFormat/>
    <w:uiPriority w:val="99"/>
    <w:rPr>
      <w:sz w:val="18"/>
      <w:szCs w:val="18"/>
    </w:rPr>
  </w:style>
  <w:style w:type="paragraph" w:styleId="19">
    <w:name w:val="footer"/>
    <w:basedOn w:val="1"/>
    <w:link w:val="45"/>
    <w:unhideWhenUsed/>
    <w:qFormat/>
    <w:uiPriority w:val="99"/>
    <w:pPr>
      <w:tabs>
        <w:tab w:val="center" w:pos="4153"/>
        <w:tab w:val="right" w:pos="8306"/>
      </w:tabs>
      <w:snapToGrid w:val="0"/>
      <w:jc w:val="left"/>
    </w:pPr>
    <w:rPr>
      <w:sz w:val="18"/>
      <w:szCs w:val="18"/>
    </w:rPr>
  </w:style>
  <w:style w:type="paragraph" w:styleId="20">
    <w:name w:val="header"/>
    <w:basedOn w:val="1"/>
    <w:link w:val="46"/>
    <w:unhideWhenUsed/>
    <w:qFormat/>
    <w:uiPriority w:val="99"/>
    <w:pPr>
      <w:pBdr>
        <w:bottom w:val="single" w:color="auto" w:sz="6" w:space="1"/>
      </w:pBdr>
      <w:tabs>
        <w:tab w:val="center" w:pos="4153"/>
        <w:tab w:val="right" w:pos="8306"/>
      </w:tabs>
      <w:snapToGrid w:val="0"/>
      <w:jc w:val="center"/>
    </w:pPr>
    <w:rPr>
      <w:sz w:val="18"/>
      <w:szCs w:val="18"/>
    </w:rPr>
  </w:style>
  <w:style w:type="paragraph" w:styleId="21">
    <w:name w:val="toc 1"/>
    <w:basedOn w:val="1"/>
    <w:next w:val="1"/>
    <w:unhideWhenUsed/>
    <w:qFormat/>
    <w:uiPriority w:val="39"/>
  </w:style>
  <w:style w:type="paragraph" w:styleId="22">
    <w:name w:val="toc 4"/>
    <w:basedOn w:val="1"/>
    <w:next w:val="1"/>
    <w:unhideWhenUsed/>
    <w:qFormat/>
    <w:uiPriority w:val="39"/>
    <w:pPr>
      <w:ind w:left="1260" w:leftChars="600"/>
    </w:pPr>
  </w:style>
  <w:style w:type="paragraph" w:styleId="23">
    <w:name w:val="footnote text"/>
    <w:basedOn w:val="1"/>
    <w:link w:val="47"/>
    <w:semiHidden/>
    <w:unhideWhenUsed/>
    <w:qFormat/>
    <w:uiPriority w:val="99"/>
    <w:pPr>
      <w:snapToGrid w:val="0"/>
      <w:spacing w:beforeLines="50" w:afterLines="50" w:line="360" w:lineRule="auto"/>
      <w:jc w:val="left"/>
    </w:pPr>
    <w:rPr>
      <w:rFonts w:ascii="Times New Roman" w:hAnsi="Times New Roman" w:eastAsia="仿宋_GB2312" w:cs="Times New Roman"/>
      <w:sz w:val="18"/>
      <w:szCs w:val="18"/>
    </w:rPr>
  </w:style>
  <w:style w:type="paragraph" w:styleId="24">
    <w:name w:val="toc 6"/>
    <w:basedOn w:val="1"/>
    <w:next w:val="1"/>
    <w:unhideWhenUsed/>
    <w:qFormat/>
    <w:uiPriority w:val="39"/>
    <w:pPr>
      <w:ind w:left="2100" w:leftChars="1000"/>
    </w:pPr>
  </w:style>
  <w:style w:type="paragraph" w:styleId="25">
    <w:name w:val="toc 2"/>
    <w:basedOn w:val="1"/>
    <w:next w:val="1"/>
    <w:unhideWhenUsed/>
    <w:qFormat/>
    <w:uiPriority w:val="39"/>
    <w:pPr>
      <w:ind w:left="420" w:leftChars="200"/>
    </w:pPr>
  </w:style>
  <w:style w:type="paragraph" w:styleId="26">
    <w:name w:val="toc 9"/>
    <w:basedOn w:val="1"/>
    <w:next w:val="1"/>
    <w:unhideWhenUsed/>
    <w:qFormat/>
    <w:uiPriority w:val="39"/>
    <w:pPr>
      <w:ind w:left="3360" w:leftChars="1600"/>
    </w:pPr>
  </w:style>
  <w:style w:type="paragraph" w:styleId="27">
    <w:name w:val="Normal (Web)"/>
    <w:basedOn w:val="1"/>
    <w:unhideWhenUsed/>
    <w:qFormat/>
    <w:uiPriority w:val="99"/>
    <w:pPr>
      <w:spacing w:line="500" w:lineRule="exact"/>
      <w:ind w:firstLine="200" w:firstLineChars="200"/>
    </w:pPr>
    <w:rPr>
      <w:rFonts w:ascii="Times New Roman" w:hAnsi="Times New Roman" w:eastAsia="仿宋" w:cs="Times New Roman"/>
      <w:sz w:val="24"/>
      <w:szCs w:val="24"/>
    </w:rPr>
  </w:style>
  <w:style w:type="paragraph" w:styleId="28">
    <w:name w:val="Title"/>
    <w:basedOn w:val="1"/>
    <w:link w:val="68"/>
    <w:qFormat/>
    <w:uiPriority w:val="10"/>
    <w:pPr>
      <w:spacing w:before="240" w:after="60" w:line="500" w:lineRule="exact"/>
      <w:ind w:firstLine="200" w:firstLineChars="200"/>
      <w:jc w:val="center"/>
      <w:outlineLvl w:val="0"/>
    </w:pPr>
    <w:rPr>
      <w:rFonts w:ascii="Arial" w:hAnsi="Arial" w:eastAsia="仿宋" w:cs="仿宋"/>
      <w:b/>
      <w:sz w:val="32"/>
      <w:szCs w:val="24"/>
    </w:rPr>
  </w:style>
  <w:style w:type="paragraph" w:styleId="29">
    <w:name w:val="annotation subject"/>
    <w:basedOn w:val="9"/>
    <w:next w:val="9"/>
    <w:link w:val="83"/>
    <w:semiHidden/>
    <w:unhideWhenUsed/>
    <w:qFormat/>
    <w:uiPriority w:val="99"/>
    <w:rPr>
      <w:b/>
      <w:bCs/>
    </w:rPr>
  </w:style>
  <w:style w:type="table" w:styleId="31">
    <w:name w:val="Table Grid"/>
    <w:basedOn w:val="3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endnote reference"/>
    <w:basedOn w:val="32"/>
    <w:semiHidden/>
    <w:unhideWhenUsed/>
    <w:qFormat/>
    <w:uiPriority w:val="99"/>
    <w:rPr>
      <w:vertAlign w:val="superscript"/>
    </w:rPr>
  </w:style>
  <w:style w:type="character" w:styleId="34">
    <w:name w:val="FollowedHyperlink"/>
    <w:basedOn w:val="32"/>
    <w:semiHidden/>
    <w:unhideWhenUsed/>
    <w:qFormat/>
    <w:uiPriority w:val="99"/>
    <w:rPr>
      <w:color w:val="954F72"/>
      <w:u w:val="single"/>
    </w:rPr>
  </w:style>
  <w:style w:type="character" w:styleId="35">
    <w:name w:val="Hyperlink"/>
    <w:basedOn w:val="32"/>
    <w:unhideWhenUsed/>
    <w:qFormat/>
    <w:uiPriority w:val="99"/>
    <w:rPr>
      <w:color w:val="0000FF" w:themeColor="hyperlink"/>
      <w:u w:val="single"/>
      <w14:textFill>
        <w14:solidFill>
          <w14:schemeClr w14:val="hlink"/>
        </w14:solidFill>
      </w14:textFill>
    </w:rPr>
  </w:style>
  <w:style w:type="character" w:styleId="36">
    <w:name w:val="annotation reference"/>
    <w:basedOn w:val="32"/>
    <w:semiHidden/>
    <w:unhideWhenUsed/>
    <w:qFormat/>
    <w:uiPriority w:val="99"/>
    <w:rPr>
      <w:sz w:val="21"/>
      <w:szCs w:val="21"/>
    </w:rPr>
  </w:style>
  <w:style w:type="character" w:styleId="37">
    <w:name w:val="footnote reference"/>
    <w:basedOn w:val="32"/>
    <w:semiHidden/>
    <w:unhideWhenUsed/>
    <w:qFormat/>
    <w:uiPriority w:val="99"/>
    <w:rPr>
      <w:vertAlign w:val="superscript"/>
    </w:rPr>
  </w:style>
  <w:style w:type="character" w:customStyle="1" w:styleId="38">
    <w:name w:val="标题 2 字符"/>
    <w:basedOn w:val="32"/>
    <w:link w:val="2"/>
    <w:qFormat/>
    <w:uiPriority w:val="9"/>
    <w:rPr>
      <w:rFonts w:ascii="宋体" w:hAnsi="宋体" w:eastAsiaTheme="minorEastAsia" w:cstheme="minorBidi"/>
      <w:b/>
      <w:bCs/>
      <w:sz w:val="36"/>
      <w:szCs w:val="36"/>
    </w:rPr>
  </w:style>
  <w:style w:type="character" w:customStyle="1" w:styleId="39">
    <w:name w:val="标题 1 字符"/>
    <w:basedOn w:val="32"/>
    <w:link w:val="3"/>
    <w:qFormat/>
    <w:uiPriority w:val="9"/>
    <w:rPr>
      <w:rFonts w:ascii="Cambria" w:hAnsi="Cambria" w:eastAsiaTheme="minorEastAsia" w:cstheme="minorBidi"/>
      <w:b/>
      <w:bCs/>
      <w:kern w:val="2"/>
      <w:sz w:val="28"/>
      <w:szCs w:val="28"/>
    </w:rPr>
  </w:style>
  <w:style w:type="character" w:customStyle="1" w:styleId="40">
    <w:name w:val="标题 3 字符"/>
    <w:basedOn w:val="32"/>
    <w:link w:val="4"/>
    <w:qFormat/>
    <w:uiPriority w:val="9"/>
    <w:rPr>
      <w:rFonts w:ascii="黑体" w:hAnsi="黑体" w:eastAsia="黑体" w:cs="黑体"/>
      <w:bCs/>
      <w:kern w:val="2"/>
      <w:sz w:val="24"/>
      <w:szCs w:val="24"/>
    </w:rPr>
  </w:style>
  <w:style w:type="character" w:customStyle="1" w:styleId="41">
    <w:name w:val="标题 4 字符"/>
    <w:basedOn w:val="32"/>
    <w:link w:val="5"/>
    <w:qFormat/>
    <w:uiPriority w:val="9"/>
    <w:rPr>
      <w:rFonts w:asciiTheme="majorHAnsi" w:hAnsiTheme="majorHAnsi" w:eastAsiaTheme="majorEastAsia" w:cstheme="majorBidi"/>
      <w:b/>
      <w:bCs/>
      <w:kern w:val="2"/>
      <w:sz w:val="28"/>
      <w:szCs w:val="28"/>
    </w:rPr>
  </w:style>
  <w:style w:type="character" w:customStyle="1" w:styleId="42">
    <w:name w:val="文档结构图 字符"/>
    <w:basedOn w:val="32"/>
    <w:link w:val="8"/>
    <w:semiHidden/>
    <w:qFormat/>
    <w:uiPriority w:val="99"/>
    <w:rPr>
      <w:rFonts w:ascii="宋体" w:eastAsia="宋体"/>
      <w:kern w:val="2"/>
      <w:sz w:val="18"/>
      <w:szCs w:val="18"/>
    </w:rPr>
  </w:style>
  <w:style w:type="character" w:customStyle="1" w:styleId="43">
    <w:name w:val="尾注文本 字符"/>
    <w:basedOn w:val="32"/>
    <w:link w:val="17"/>
    <w:semiHidden/>
    <w:qFormat/>
    <w:uiPriority w:val="99"/>
    <w:rPr>
      <w:kern w:val="2"/>
      <w:sz w:val="21"/>
      <w:szCs w:val="22"/>
    </w:rPr>
  </w:style>
  <w:style w:type="character" w:customStyle="1" w:styleId="44">
    <w:name w:val="批注框文本 字符"/>
    <w:basedOn w:val="32"/>
    <w:link w:val="18"/>
    <w:semiHidden/>
    <w:qFormat/>
    <w:uiPriority w:val="99"/>
    <w:rPr>
      <w:sz w:val="18"/>
      <w:szCs w:val="18"/>
    </w:rPr>
  </w:style>
  <w:style w:type="character" w:customStyle="1" w:styleId="45">
    <w:name w:val="页脚 字符"/>
    <w:basedOn w:val="32"/>
    <w:link w:val="19"/>
    <w:qFormat/>
    <w:uiPriority w:val="99"/>
    <w:rPr>
      <w:sz w:val="18"/>
      <w:szCs w:val="18"/>
    </w:rPr>
  </w:style>
  <w:style w:type="character" w:customStyle="1" w:styleId="46">
    <w:name w:val="页眉 字符"/>
    <w:basedOn w:val="32"/>
    <w:link w:val="20"/>
    <w:qFormat/>
    <w:uiPriority w:val="99"/>
    <w:rPr>
      <w:sz w:val="18"/>
      <w:szCs w:val="18"/>
    </w:rPr>
  </w:style>
  <w:style w:type="character" w:customStyle="1" w:styleId="47">
    <w:name w:val="脚注文本 字符"/>
    <w:basedOn w:val="32"/>
    <w:link w:val="23"/>
    <w:semiHidden/>
    <w:qFormat/>
    <w:uiPriority w:val="99"/>
    <w:rPr>
      <w:rFonts w:ascii="Times New Roman" w:hAnsi="Times New Roman" w:eastAsia="仿宋_GB2312" w:cs="Times New Roman"/>
      <w:sz w:val="18"/>
      <w:szCs w:val="18"/>
    </w:rPr>
  </w:style>
  <w:style w:type="paragraph" w:customStyle="1" w:styleId="48">
    <w:name w:val="无间隔2"/>
    <w:qFormat/>
    <w:uiPriority w:val="0"/>
    <w:rPr>
      <w:rFonts w:ascii="Calibri" w:hAnsi="Calibri" w:eastAsia="宋体" w:cs="Calibri"/>
      <w:sz w:val="22"/>
      <w:szCs w:val="22"/>
      <w:lang w:val="en-US" w:eastAsia="zh-CN" w:bidi="ar-SA"/>
    </w:rPr>
  </w:style>
  <w:style w:type="paragraph" w:styleId="49">
    <w:name w:val="List Paragraph"/>
    <w:basedOn w:val="1"/>
    <w:qFormat/>
    <w:uiPriority w:val="34"/>
    <w:pPr>
      <w:widowControl/>
      <w:ind w:firstLine="420" w:firstLineChars="200"/>
      <w:jc w:val="left"/>
    </w:pPr>
    <w:rPr>
      <w:rFonts w:ascii="Calibri" w:hAnsi="Calibri" w:eastAsia="Calibri" w:cs="Calibri"/>
      <w:color w:val="000000"/>
      <w:szCs w:val="21"/>
      <w:u w:color="000000"/>
    </w:rPr>
  </w:style>
  <w:style w:type="paragraph" w:customStyle="1" w:styleId="50">
    <w:name w:val="浦东正文"/>
    <w:basedOn w:val="1"/>
    <w:qFormat/>
    <w:uiPriority w:val="0"/>
    <w:pPr>
      <w:spacing w:line="500" w:lineRule="exact"/>
      <w:ind w:firstLine="720" w:firstLineChars="200"/>
    </w:pPr>
    <w:rPr>
      <w:rFonts w:ascii="Times New Roman" w:hAnsi="Times New Roman" w:eastAsia="仿宋_GB2312"/>
      <w:sz w:val="32"/>
      <w:szCs w:val="32"/>
    </w:rPr>
  </w:style>
  <w:style w:type="paragraph" w:customStyle="1" w:styleId="51">
    <w:name w:val="图表"/>
    <w:basedOn w:val="1"/>
    <w:link w:val="52"/>
    <w:qFormat/>
    <w:uiPriority w:val="0"/>
    <w:pPr>
      <w:spacing w:line="500" w:lineRule="exact"/>
      <w:jc w:val="left"/>
    </w:pPr>
    <w:rPr>
      <w:rFonts w:ascii="黑体" w:hAnsi="黑体" w:eastAsia="黑体" w:cs="黑体"/>
      <w:szCs w:val="21"/>
    </w:rPr>
  </w:style>
  <w:style w:type="character" w:customStyle="1" w:styleId="52">
    <w:name w:val="图表 字符"/>
    <w:basedOn w:val="32"/>
    <w:link w:val="51"/>
    <w:qFormat/>
    <w:uiPriority w:val="0"/>
    <w:rPr>
      <w:rFonts w:ascii="黑体" w:hAnsi="黑体" w:eastAsia="黑体" w:cs="黑体"/>
      <w:kern w:val="2"/>
      <w:sz w:val="21"/>
      <w:szCs w:val="21"/>
    </w:rPr>
  </w:style>
  <w:style w:type="paragraph" w:customStyle="1" w:styleId="53">
    <w:name w:val="TOC 标题1"/>
    <w:basedOn w:val="3"/>
    <w:next w:val="1"/>
    <w:unhideWhenUsed/>
    <w:qFormat/>
    <w:uiPriority w:val="39"/>
    <w:pPr>
      <w:keepNext/>
      <w:keepLines/>
      <w:widowControl/>
      <w:spacing w:before="240" w:line="259" w:lineRule="auto"/>
      <w:contextualSpacing w:val="0"/>
      <w:jc w:val="left"/>
      <w:outlineLvl w:val="9"/>
    </w:pPr>
    <w:rPr>
      <w:rFonts w:asciiTheme="majorHAnsi" w:hAnsiTheme="majorHAnsi" w:eastAsiaTheme="majorEastAsia" w:cstheme="majorBidi"/>
      <w:b w:val="0"/>
      <w:bCs w:val="0"/>
      <w:color w:val="376092" w:themeColor="accent1" w:themeShade="BF"/>
      <w:kern w:val="0"/>
      <w:sz w:val="32"/>
      <w:szCs w:val="32"/>
    </w:rPr>
  </w:style>
  <w:style w:type="character" w:customStyle="1" w:styleId="54">
    <w:name w:val="正文文本 字符"/>
    <w:basedOn w:val="32"/>
    <w:link w:val="10"/>
    <w:qFormat/>
    <w:uiPriority w:val="99"/>
    <w:rPr>
      <w:rFonts w:eastAsia="仿宋" w:cs="仿宋"/>
    </w:rPr>
  </w:style>
  <w:style w:type="character" w:customStyle="1" w:styleId="55">
    <w:name w:val="正文文本缩进 字符"/>
    <w:basedOn w:val="32"/>
    <w:link w:val="11"/>
    <w:qFormat/>
    <w:uiPriority w:val="99"/>
    <w:rPr>
      <w:rFonts w:ascii="仿宋" w:hAnsi="仿宋" w:eastAsia="仿宋" w:cs="仿宋"/>
      <w:kern w:val="2"/>
      <w:sz w:val="24"/>
      <w:szCs w:val="24"/>
    </w:rPr>
  </w:style>
  <w:style w:type="character" w:customStyle="1" w:styleId="56">
    <w:name w:val="正文文本缩进 2 字符"/>
    <w:basedOn w:val="32"/>
    <w:link w:val="16"/>
    <w:semiHidden/>
    <w:qFormat/>
    <w:uiPriority w:val="99"/>
    <w:rPr>
      <w:rFonts w:ascii="仿宋" w:hAnsi="仿宋" w:eastAsia="仿宋" w:cs="仿宋"/>
      <w:kern w:val="2"/>
      <w:sz w:val="24"/>
      <w:szCs w:val="24"/>
    </w:rPr>
  </w:style>
  <w:style w:type="paragraph" w:customStyle="1" w:styleId="57">
    <w:name w:val="正文首行缩进 21"/>
    <w:basedOn w:val="11"/>
    <w:qFormat/>
    <w:uiPriority w:val="0"/>
    <w:pPr>
      <w:spacing w:before="100" w:beforeAutospacing="1"/>
      <w:ind w:firstLine="420"/>
    </w:pPr>
    <w:rPr>
      <w:rFonts w:eastAsia="仿宋_GB2312"/>
      <w:kern w:val="0"/>
      <w:sz w:val="28"/>
      <w:szCs w:val="28"/>
    </w:rPr>
  </w:style>
  <w:style w:type="paragraph" w:customStyle="1" w:styleId="58">
    <w:name w:val="正文1"/>
    <w:qFormat/>
    <w:uiPriority w:val="0"/>
    <w:pPr>
      <w:jc w:val="both"/>
    </w:pPr>
    <w:rPr>
      <w:rFonts w:ascii="Times New Roman" w:hAnsi="Times New Roman" w:eastAsia="宋体" w:cs="Times New Roman"/>
      <w:kern w:val="2"/>
      <w:sz w:val="21"/>
      <w:szCs w:val="21"/>
      <w:lang w:val="en-US" w:eastAsia="zh-CN" w:bidi="ar-SA"/>
    </w:rPr>
  </w:style>
  <w:style w:type="paragraph" w:customStyle="1" w:styleId="59">
    <w:name w:val="List Paragraph1"/>
    <w:basedOn w:val="1"/>
    <w:qFormat/>
    <w:uiPriority w:val="0"/>
    <w:pPr>
      <w:ind w:firstLine="420" w:firstLineChars="200"/>
    </w:pPr>
    <w:rPr>
      <w:rFonts w:ascii="Calibri" w:hAnsi="Calibri" w:eastAsia="宋体" w:cs="Times New Roman"/>
      <w:szCs w:val="21"/>
    </w:rPr>
  </w:style>
  <w:style w:type="paragraph" w:customStyle="1" w:styleId="60">
    <w:name w:val="Default"/>
    <w:qFormat/>
    <w:uiPriority w:val="0"/>
    <w:pPr>
      <w:widowControl w:val="0"/>
      <w:autoSpaceDE w:val="0"/>
      <w:autoSpaceDN w:val="0"/>
      <w:adjustRightInd w:val="0"/>
    </w:pPr>
    <w:rPr>
      <w:rFonts w:ascii="Arial Unicode MS" w:eastAsia="Arial Unicode MS" w:cs="Arial Unicode MS" w:hAnsiTheme="minorHAnsi"/>
      <w:color w:val="000000"/>
      <w:sz w:val="24"/>
      <w:szCs w:val="24"/>
      <w:lang w:val="en-US" w:eastAsia="zh-CN" w:bidi="ar-SA"/>
    </w:rPr>
  </w:style>
  <w:style w:type="paragraph" w:customStyle="1" w:styleId="61">
    <w:name w:val="表格"/>
    <w:basedOn w:val="1"/>
    <w:qFormat/>
    <w:uiPriority w:val="0"/>
    <w:pPr>
      <w:spacing w:line="300" w:lineRule="exact"/>
      <w:jc w:val="left"/>
    </w:pPr>
    <w:rPr>
      <w:rFonts w:ascii="仿宋" w:hAnsi="仿宋" w:eastAsia="仿宋" w:cs="宋体"/>
      <w:b/>
      <w:bCs/>
      <w:szCs w:val="21"/>
    </w:rPr>
  </w:style>
  <w:style w:type="paragraph" w:customStyle="1" w:styleId="62">
    <w:name w:val="列表段落1"/>
    <w:basedOn w:val="1"/>
    <w:qFormat/>
    <w:uiPriority w:val="0"/>
    <w:pPr>
      <w:spacing w:line="500" w:lineRule="exact"/>
      <w:ind w:firstLine="420" w:firstLineChars="200"/>
    </w:pPr>
    <w:rPr>
      <w:rFonts w:ascii="仿宋" w:hAnsi="仿宋" w:eastAsia="仿宋" w:cs="宋体"/>
      <w:sz w:val="24"/>
      <w:szCs w:val="24"/>
    </w:rPr>
  </w:style>
  <w:style w:type="character" w:customStyle="1" w:styleId="63">
    <w:name w:val="15"/>
    <w:basedOn w:val="32"/>
    <w:qFormat/>
    <w:uiPriority w:val="0"/>
    <w:rPr>
      <w:rFonts w:hint="eastAsia" w:ascii="宋体" w:hAnsi="宋体" w:eastAsia="宋体"/>
      <w:color w:val="000000"/>
      <w:sz w:val="22"/>
      <w:szCs w:val="22"/>
    </w:rPr>
  </w:style>
  <w:style w:type="character" w:customStyle="1" w:styleId="64">
    <w:name w:val="16"/>
    <w:basedOn w:val="32"/>
    <w:qFormat/>
    <w:uiPriority w:val="0"/>
    <w:rPr>
      <w:rFonts w:hint="eastAsia" w:ascii="宋体" w:hAnsi="宋体" w:eastAsia="宋体"/>
      <w:color w:val="FF0000"/>
      <w:sz w:val="22"/>
      <w:szCs w:val="22"/>
    </w:rPr>
  </w:style>
  <w:style w:type="character" w:customStyle="1" w:styleId="65">
    <w:name w:val="未处理的提及1"/>
    <w:basedOn w:val="32"/>
    <w:semiHidden/>
    <w:unhideWhenUsed/>
    <w:qFormat/>
    <w:uiPriority w:val="99"/>
    <w:rPr>
      <w:color w:val="605E5C"/>
      <w:shd w:val="clear" w:color="auto" w:fill="E1DFDD"/>
    </w:rPr>
  </w:style>
  <w:style w:type="character" w:customStyle="1" w:styleId="66">
    <w:name w:val="normal____char1__char1"/>
    <w:qFormat/>
    <w:uiPriority w:val="0"/>
    <w:rPr>
      <w:rFonts w:hint="default" w:ascii="Arial" w:hAnsi="Arial" w:cs="Arial"/>
      <w:sz w:val="20"/>
      <w:szCs w:val="20"/>
    </w:rPr>
  </w:style>
  <w:style w:type="character" w:customStyle="1" w:styleId="67">
    <w:name w:val="日期 字符"/>
    <w:basedOn w:val="32"/>
    <w:link w:val="15"/>
    <w:semiHidden/>
    <w:qFormat/>
    <w:uiPriority w:val="99"/>
    <w:rPr>
      <w:rFonts w:ascii="仿宋" w:hAnsi="仿宋" w:eastAsia="仿宋" w:cs="仿宋"/>
      <w:kern w:val="2"/>
      <w:sz w:val="24"/>
      <w:szCs w:val="24"/>
    </w:rPr>
  </w:style>
  <w:style w:type="character" w:customStyle="1" w:styleId="68">
    <w:name w:val="标题 字符"/>
    <w:basedOn w:val="32"/>
    <w:link w:val="28"/>
    <w:qFormat/>
    <w:uiPriority w:val="10"/>
    <w:rPr>
      <w:rFonts w:ascii="Arial" w:hAnsi="Arial" w:eastAsia="仿宋" w:cs="仿宋"/>
      <w:b/>
      <w:kern w:val="2"/>
      <w:sz w:val="32"/>
      <w:szCs w:val="24"/>
    </w:rPr>
  </w:style>
  <w:style w:type="character" w:customStyle="1" w:styleId="69">
    <w:name w:val="标题 4 字符1"/>
    <w:basedOn w:val="32"/>
    <w:semiHidden/>
    <w:qFormat/>
    <w:uiPriority w:val="9"/>
    <w:rPr>
      <w:rFonts w:asciiTheme="majorHAnsi" w:hAnsiTheme="majorHAnsi" w:eastAsiaTheme="majorEastAsia" w:cstheme="majorBidi"/>
      <w:b/>
      <w:bCs/>
      <w:sz w:val="28"/>
      <w:szCs w:val="28"/>
    </w:rPr>
  </w:style>
  <w:style w:type="paragraph" w:customStyle="1" w:styleId="70">
    <w:name w:val="标题 41"/>
    <w:basedOn w:val="1"/>
    <w:next w:val="1"/>
    <w:unhideWhenUsed/>
    <w:qFormat/>
    <w:uiPriority w:val="9"/>
    <w:pPr>
      <w:keepNext/>
      <w:keepLines/>
      <w:spacing w:before="280" w:after="290" w:line="376" w:lineRule="atLeast"/>
      <w:ind w:firstLine="200" w:firstLineChars="200"/>
      <w:outlineLvl w:val="3"/>
    </w:pPr>
    <w:rPr>
      <w:rFonts w:ascii="等线 Light" w:hAnsi="等线 Light" w:eastAsia="等线 Light" w:cs="Times New Roman"/>
      <w:b/>
      <w:bCs/>
      <w:sz w:val="28"/>
      <w:szCs w:val="28"/>
    </w:rPr>
  </w:style>
  <w:style w:type="paragraph" w:customStyle="1" w:styleId="71">
    <w:name w:val="TOC 71"/>
    <w:basedOn w:val="1"/>
    <w:next w:val="1"/>
    <w:unhideWhenUsed/>
    <w:qFormat/>
    <w:uiPriority w:val="39"/>
    <w:pPr>
      <w:ind w:left="2520" w:leftChars="1200"/>
    </w:pPr>
    <w:rPr>
      <w:rFonts w:ascii="等线" w:hAnsi="等线" w:eastAsia="等线" w:cs="Times New Roman"/>
    </w:rPr>
  </w:style>
  <w:style w:type="paragraph" w:customStyle="1" w:styleId="72">
    <w:name w:val="TOC 51"/>
    <w:basedOn w:val="1"/>
    <w:next w:val="1"/>
    <w:unhideWhenUsed/>
    <w:qFormat/>
    <w:uiPriority w:val="39"/>
    <w:pPr>
      <w:ind w:left="1680" w:leftChars="800"/>
    </w:pPr>
    <w:rPr>
      <w:rFonts w:ascii="等线" w:hAnsi="等线" w:eastAsia="等线" w:cs="Times New Roman"/>
    </w:rPr>
  </w:style>
  <w:style w:type="paragraph" w:customStyle="1" w:styleId="73">
    <w:name w:val="TOC 81"/>
    <w:basedOn w:val="1"/>
    <w:next w:val="1"/>
    <w:unhideWhenUsed/>
    <w:qFormat/>
    <w:uiPriority w:val="39"/>
    <w:pPr>
      <w:ind w:left="2940" w:leftChars="1400"/>
    </w:pPr>
    <w:rPr>
      <w:rFonts w:ascii="等线" w:hAnsi="等线" w:eastAsia="等线" w:cs="Times New Roman"/>
    </w:rPr>
  </w:style>
  <w:style w:type="paragraph" w:customStyle="1" w:styleId="74">
    <w:name w:val="TOC 41"/>
    <w:basedOn w:val="1"/>
    <w:next w:val="1"/>
    <w:unhideWhenUsed/>
    <w:qFormat/>
    <w:uiPriority w:val="39"/>
    <w:pPr>
      <w:ind w:left="1260" w:leftChars="600"/>
    </w:pPr>
    <w:rPr>
      <w:rFonts w:ascii="等线" w:hAnsi="等线" w:eastAsia="等线" w:cs="Times New Roman"/>
    </w:rPr>
  </w:style>
  <w:style w:type="paragraph" w:customStyle="1" w:styleId="75">
    <w:name w:val="TOC 61"/>
    <w:basedOn w:val="1"/>
    <w:next w:val="1"/>
    <w:unhideWhenUsed/>
    <w:qFormat/>
    <w:uiPriority w:val="39"/>
    <w:pPr>
      <w:ind w:left="2100" w:leftChars="1000"/>
    </w:pPr>
    <w:rPr>
      <w:rFonts w:ascii="等线" w:hAnsi="等线" w:eastAsia="等线" w:cs="Times New Roman"/>
    </w:rPr>
  </w:style>
  <w:style w:type="paragraph" w:customStyle="1" w:styleId="76">
    <w:name w:val="TOC 91"/>
    <w:basedOn w:val="1"/>
    <w:next w:val="1"/>
    <w:unhideWhenUsed/>
    <w:qFormat/>
    <w:uiPriority w:val="39"/>
    <w:pPr>
      <w:ind w:left="3360" w:leftChars="1600"/>
    </w:pPr>
    <w:rPr>
      <w:rFonts w:ascii="等线" w:hAnsi="等线" w:eastAsia="等线" w:cs="Times New Roman"/>
    </w:rPr>
  </w:style>
  <w:style w:type="paragraph" w:customStyle="1" w:styleId="77">
    <w:name w:val="图片表格"/>
    <w:basedOn w:val="1"/>
    <w:qFormat/>
    <w:uiPriority w:val="0"/>
    <w:pPr>
      <w:spacing w:line="500" w:lineRule="exact"/>
      <w:jc w:val="left"/>
    </w:pPr>
    <w:rPr>
      <w:rFonts w:hint="eastAsia" w:ascii="黑体" w:hAnsi="宋体" w:eastAsia="黑体" w:cs="Times New Roman"/>
      <w:szCs w:val="21"/>
    </w:rPr>
  </w:style>
  <w:style w:type="paragraph" w:customStyle="1" w:styleId="78">
    <w:name w:val="正文2"/>
    <w:qFormat/>
    <w:uiPriority w:val="0"/>
    <w:pPr>
      <w:jc w:val="both"/>
    </w:pPr>
    <w:rPr>
      <w:rFonts w:ascii="黑体" w:hAnsi="黑体" w:eastAsia="宋体" w:cs="宋体"/>
      <w:kern w:val="2"/>
      <w:sz w:val="21"/>
      <w:szCs w:val="21"/>
      <w:lang w:val="en-US" w:eastAsia="zh-CN" w:bidi="ar-SA"/>
    </w:rPr>
  </w:style>
  <w:style w:type="character" w:customStyle="1" w:styleId="79">
    <w:name w:val="font11"/>
    <w:basedOn w:val="32"/>
    <w:qFormat/>
    <w:uiPriority w:val="0"/>
    <w:rPr>
      <w:rFonts w:hint="eastAsia" w:ascii="宋体" w:hAnsi="宋体" w:eastAsia="宋体"/>
      <w:color w:val="000000"/>
      <w:sz w:val="24"/>
      <w:szCs w:val="24"/>
      <w:u w:val="none"/>
    </w:rPr>
  </w:style>
  <w:style w:type="paragraph" w:customStyle="1" w:styleId="80">
    <w:name w:val="TOC 标题11"/>
    <w:basedOn w:val="3"/>
    <w:next w:val="1"/>
    <w:unhideWhenUsed/>
    <w:qFormat/>
    <w:uiPriority w:val="39"/>
    <w:pPr>
      <w:keepNext/>
      <w:keepLines/>
      <w:widowControl/>
      <w:spacing w:before="240" w:line="259" w:lineRule="auto"/>
      <w:contextualSpacing w:val="0"/>
      <w:jc w:val="left"/>
      <w:outlineLvl w:val="9"/>
    </w:pPr>
    <w:rPr>
      <w:rFonts w:asciiTheme="majorHAnsi" w:hAnsiTheme="majorHAnsi" w:eastAsiaTheme="majorEastAsia" w:cstheme="majorBidi"/>
      <w:b w:val="0"/>
      <w:bCs w:val="0"/>
      <w:color w:val="376092" w:themeColor="accent1" w:themeShade="BF"/>
      <w:kern w:val="0"/>
      <w:sz w:val="32"/>
      <w:szCs w:val="32"/>
    </w:rPr>
  </w:style>
  <w:style w:type="character" w:customStyle="1" w:styleId="81">
    <w:name w:val="fontstyle01"/>
    <w:basedOn w:val="32"/>
    <w:qFormat/>
    <w:uiPriority w:val="0"/>
    <w:rPr>
      <w:rFonts w:hint="eastAsia" w:ascii="仿宋" w:hAnsi="仿宋" w:eastAsia="仿宋"/>
      <w:color w:val="000000"/>
      <w:sz w:val="32"/>
      <w:szCs w:val="32"/>
    </w:rPr>
  </w:style>
  <w:style w:type="character" w:customStyle="1" w:styleId="82">
    <w:name w:val="批注文字 字符"/>
    <w:basedOn w:val="32"/>
    <w:link w:val="9"/>
    <w:semiHidden/>
    <w:qFormat/>
    <w:uiPriority w:val="99"/>
    <w:rPr>
      <w:rFonts w:asciiTheme="minorHAnsi" w:hAnsiTheme="minorHAnsi" w:eastAsiaTheme="minorEastAsia" w:cstheme="minorBidi"/>
      <w:kern w:val="2"/>
      <w:sz w:val="21"/>
      <w:szCs w:val="22"/>
    </w:rPr>
  </w:style>
  <w:style w:type="character" w:customStyle="1" w:styleId="83">
    <w:name w:val="批注主题 字符"/>
    <w:basedOn w:val="82"/>
    <w:link w:val="29"/>
    <w:semiHidden/>
    <w:qFormat/>
    <w:uiPriority w:val="99"/>
    <w:rPr>
      <w:rFonts w:asciiTheme="minorHAnsi" w:hAnsiTheme="minorHAnsi" w:eastAsiaTheme="minorEastAsia" w:cstheme="minorBidi"/>
      <w:b/>
      <w:bCs/>
      <w:kern w:val="2"/>
      <w:sz w:val="21"/>
      <w:szCs w:val="22"/>
    </w:rPr>
  </w:style>
  <w:style w:type="paragraph" w:customStyle="1" w:styleId="84">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85">
    <w:name w:val="font5"/>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86">
    <w:name w:val="font6"/>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87">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88">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89">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黑体" w:hAnsi="黑体" w:eastAsia="黑体" w:cs="宋体"/>
      <w:color w:val="000000"/>
      <w:kern w:val="0"/>
      <w:sz w:val="20"/>
      <w:szCs w:val="20"/>
    </w:rPr>
  </w:style>
  <w:style w:type="paragraph" w:customStyle="1" w:styleId="90">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黑体" w:hAnsi="黑体" w:eastAsia="黑体" w:cs="宋体"/>
      <w:color w:val="000000"/>
      <w:kern w:val="0"/>
      <w:sz w:val="20"/>
      <w:szCs w:val="20"/>
    </w:rPr>
  </w:style>
  <w:style w:type="paragraph" w:customStyle="1" w:styleId="91">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黑体" w:hAnsi="黑体" w:eastAsia="黑体" w:cs="宋体"/>
      <w:kern w:val="0"/>
      <w:sz w:val="20"/>
      <w:szCs w:val="20"/>
    </w:rPr>
  </w:style>
  <w:style w:type="paragraph" w:customStyle="1" w:styleId="92">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黑体" w:hAnsi="黑体" w:eastAsia="黑体" w:cs="宋体"/>
      <w:color w:val="000000"/>
      <w:kern w:val="0"/>
      <w:sz w:val="20"/>
      <w:szCs w:val="20"/>
    </w:rPr>
  </w:style>
  <w:style w:type="paragraph" w:customStyle="1" w:styleId="93">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黑体" w:hAnsi="黑体" w:eastAsia="黑体" w:cs="宋体"/>
      <w:kern w:val="0"/>
      <w:sz w:val="20"/>
      <w:szCs w:val="20"/>
    </w:rPr>
  </w:style>
  <w:style w:type="paragraph" w:customStyle="1" w:styleId="94">
    <w:name w:val="xl71"/>
    <w:basedOn w:val="1"/>
    <w:qFormat/>
    <w:uiPriority w:val="0"/>
    <w:pPr>
      <w:widowControl/>
      <w:spacing w:before="100" w:beforeAutospacing="1" w:after="100" w:afterAutospacing="1"/>
      <w:jc w:val="center"/>
      <w:textAlignment w:val="center"/>
    </w:pPr>
    <w:rPr>
      <w:rFonts w:ascii="宋体" w:hAnsi="宋体" w:eastAsia="宋体" w:cs="宋体"/>
      <w:kern w:val="0"/>
      <w:sz w:val="24"/>
      <w:szCs w:val="24"/>
    </w:rPr>
  </w:style>
  <w:style w:type="paragraph" w:customStyle="1" w:styleId="95">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96">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黑体" w:hAnsi="黑体" w:eastAsia="黑体" w:cs="宋体"/>
      <w:b/>
      <w:bCs/>
      <w:kern w:val="0"/>
      <w:sz w:val="20"/>
      <w:szCs w:val="20"/>
    </w:rPr>
  </w:style>
  <w:style w:type="paragraph" w:customStyle="1" w:styleId="97">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黑体" w:hAnsi="黑体" w:eastAsia="黑体" w:cs="宋体"/>
      <w:b/>
      <w:bCs/>
      <w:kern w:val="0"/>
      <w:sz w:val="20"/>
      <w:szCs w:val="20"/>
    </w:rPr>
  </w:style>
  <w:style w:type="paragraph" w:customStyle="1" w:styleId="98">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黑体" w:hAnsi="黑体" w:eastAsia="黑体" w:cs="宋体"/>
      <w:b/>
      <w:bCs/>
      <w:kern w:val="0"/>
      <w:sz w:val="20"/>
      <w:szCs w:val="20"/>
    </w:rPr>
  </w:style>
  <w:style w:type="paragraph" w:customStyle="1" w:styleId="99">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黑体" w:hAnsi="黑体" w:eastAsia="黑体" w:cs="宋体"/>
      <w:color w:val="000000"/>
      <w:kern w:val="0"/>
      <w:sz w:val="20"/>
      <w:szCs w:val="20"/>
    </w:rPr>
  </w:style>
  <w:style w:type="paragraph" w:customStyle="1" w:styleId="100">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黑体" w:hAnsi="黑体" w:eastAsia="黑体" w:cs="宋体"/>
      <w:color w:val="FF0000"/>
      <w:kern w:val="0"/>
      <w:sz w:val="20"/>
      <w:szCs w:val="20"/>
    </w:rPr>
  </w:style>
  <w:style w:type="paragraph" w:customStyle="1" w:styleId="101">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黑体" w:hAnsi="黑体" w:eastAsia="黑体" w:cs="宋体"/>
      <w:color w:val="FF0000"/>
      <w:kern w:val="0"/>
      <w:sz w:val="20"/>
      <w:szCs w:val="20"/>
    </w:rPr>
  </w:style>
  <w:style w:type="paragraph" w:customStyle="1" w:styleId="102">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黑体" w:hAnsi="黑体" w:eastAsia="黑体" w:cs="宋体"/>
      <w:color w:val="FF0000"/>
      <w:kern w:val="0"/>
      <w:sz w:val="20"/>
      <w:szCs w:val="20"/>
    </w:rPr>
  </w:style>
  <w:style w:type="paragraph" w:customStyle="1" w:styleId="103">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黑体" w:hAnsi="黑体" w:eastAsia="黑体" w:cs="宋体"/>
      <w:color w:val="FF0000"/>
      <w:kern w:val="0"/>
      <w:sz w:val="20"/>
      <w:szCs w:val="20"/>
    </w:rPr>
  </w:style>
  <w:style w:type="paragraph" w:customStyle="1" w:styleId="104">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黑体" w:hAnsi="黑体" w:eastAsia="黑体" w:cs="宋体"/>
      <w:color w:val="FF0000"/>
      <w:kern w:val="0"/>
      <w:sz w:val="20"/>
      <w:szCs w:val="20"/>
    </w:rPr>
  </w:style>
  <w:style w:type="paragraph" w:customStyle="1" w:styleId="105">
    <w:name w:val="xl82"/>
    <w:basedOn w:val="1"/>
    <w:qFormat/>
    <w:uiPriority w:val="0"/>
    <w:pPr>
      <w:widowControl/>
      <w:pBdr>
        <w:top w:val="single" w:color="auto" w:sz="4" w:space="0"/>
        <w:left w:val="single" w:color="auto" w:sz="4" w:space="0"/>
        <w:bottom w:val="single" w:color="auto" w:sz="4" w:space="0"/>
        <w:right w:val="single" w:color="auto" w:sz="4" w:space="0"/>
      </w:pBdr>
      <w:shd w:val="clear" w:color="000000" w:fill="E2EFDA"/>
      <w:spacing w:before="100" w:beforeAutospacing="1" w:after="100" w:afterAutospacing="1"/>
      <w:jc w:val="center"/>
      <w:textAlignment w:val="center"/>
    </w:pPr>
    <w:rPr>
      <w:rFonts w:ascii="黑体" w:hAnsi="黑体" w:eastAsia="黑体" w:cs="宋体"/>
      <w:color w:val="000000"/>
      <w:kern w:val="0"/>
      <w:sz w:val="20"/>
      <w:szCs w:val="20"/>
    </w:rPr>
  </w:style>
  <w:style w:type="paragraph" w:customStyle="1" w:styleId="106">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E2EFDA"/>
      <w:spacing w:before="100" w:beforeAutospacing="1" w:after="100" w:afterAutospacing="1"/>
      <w:jc w:val="center"/>
      <w:textAlignment w:val="center"/>
    </w:pPr>
    <w:rPr>
      <w:rFonts w:ascii="黑体" w:hAnsi="黑体" w:eastAsia="黑体" w:cs="宋体"/>
      <w:color w:val="000000"/>
      <w:kern w:val="0"/>
      <w:sz w:val="20"/>
      <w:szCs w:val="20"/>
    </w:rPr>
  </w:style>
  <w:style w:type="paragraph" w:customStyle="1" w:styleId="107">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E2EFDA"/>
      <w:spacing w:before="100" w:beforeAutospacing="1" w:after="100" w:afterAutospacing="1"/>
      <w:jc w:val="center"/>
      <w:textAlignment w:val="center"/>
    </w:pPr>
    <w:rPr>
      <w:rFonts w:ascii="黑体" w:hAnsi="黑体" w:eastAsia="黑体" w:cs="宋体"/>
      <w:color w:val="000000"/>
      <w:kern w:val="0"/>
      <w:sz w:val="20"/>
      <w:szCs w:val="20"/>
    </w:rPr>
  </w:style>
  <w:style w:type="paragraph" w:customStyle="1" w:styleId="108">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E2EFDA"/>
      <w:spacing w:before="100" w:beforeAutospacing="1" w:after="100" w:afterAutospacing="1"/>
      <w:jc w:val="center"/>
      <w:textAlignment w:val="center"/>
    </w:pPr>
    <w:rPr>
      <w:rFonts w:ascii="黑体" w:hAnsi="黑体" w:eastAsia="黑体" w:cs="宋体"/>
      <w:kern w:val="0"/>
      <w:sz w:val="20"/>
      <w:szCs w:val="20"/>
    </w:rPr>
  </w:style>
  <w:style w:type="paragraph" w:customStyle="1" w:styleId="109">
    <w:name w:val="xl86"/>
    <w:basedOn w:val="1"/>
    <w:qFormat/>
    <w:uiPriority w:val="0"/>
    <w:pPr>
      <w:widowControl/>
      <w:pBdr>
        <w:top w:val="single" w:color="auto" w:sz="4" w:space="0"/>
        <w:left w:val="single" w:color="auto" w:sz="4" w:space="0"/>
        <w:bottom w:val="single" w:color="auto" w:sz="4" w:space="0"/>
        <w:right w:val="single" w:color="auto" w:sz="4" w:space="0"/>
      </w:pBdr>
      <w:shd w:val="clear" w:color="000000" w:fill="E2EFDA"/>
      <w:spacing w:before="100" w:beforeAutospacing="1" w:after="100" w:afterAutospacing="1"/>
      <w:jc w:val="center"/>
      <w:textAlignment w:val="center"/>
    </w:pPr>
    <w:rPr>
      <w:rFonts w:ascii="黑体" w:hAnsi="黑体" w:eastAsia="黑体" w:cs="宋体"/>
      <w:color w:val="000000"/>
      <w:kern w:val="0"/>
      <w:sz w:val="20"/>
      <w:szCs w:val="20"/>
    </w:rPr>
  </w:style>
  <w:style w:type="paragraph" w:customStyle="1" w:styleId="110">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E2EFDA"/>
      <w:spacing w:before="100" w:beforeAutospacing="1" w:after="100" w:afterAutospacing="1"/>
      <w:jc w:val="center"/>
      <w:textAlignment w:val="center"/>
    </w:pPr>
    <w:rPr>
      <w:rFonts w:ascii="黑体" w:hAnsi="黑体" w:eastAsia="黑体" w:cs="宋体"/>
      <w:kern w:val="0"/>
      <w:sz w:val="20"/>
      <w:szCs w:val="20"/>
    </w:rPr>
  </w:style>
  <w:style w:type="paragraph" w:customStyle="1" w:styleId="111">
    <w:name w:val="xl88"/>
    <w:basedOn w:val="1"/>
    <w:qFormat/>
    <w:uiPriority w:val="0"/>
    <w:pPr>
      <w:widowControl/>
      <w:pBdr>
        <w:top w:val="single" w:color="auto" w:sz="4" w:space="0"/>
        <w:left w:val="single" w:color="auto" w:sz="4" w:space="0"/>
        <w:bottom w:val="single" w:color="auto" w:sz="4" w:space="0"/>
        <w:right w:val="single" w:color="auto" w:sz="4" w:space="0"/>
      </w:pBdr>
      <w:shd w:val="clear" w:color="000000" w:fill="E2EFDA"/>
      <w:spacing w:before="100" w:beforeAutospacing="1" w:after="100" w:afterAutospacing="1"/>
      <w:jc w:val="center"/>
      <w:textAlignment w:val="center"/>
    </w:pPr>
    <w:rPr>
      <w:rFonts w:ascii="黑体" w:hAnsi="黑体" w:eastAsia="黑体" w:cs="宋体"/>
      <w:b/>
      <w:bCs/>
      <w:color w:val="000000"/>
      <w:kern w:val="0"/>
      <w:sz w:val="20"/>
      <w:szCs w:val="20"/>
    </w:rPr>
  </w:style>
  <w:style w:type="paragraph" w:customStyle="1" w:styleId="112">
    <w:name w:val="xl89"/>
    <w:basedOn w:val="1"/>
    <w:qFormat/>
    <w:uiPriority w:val="0"/>
    <w:pPr>
      <w:widowControl/>
      <w:pBdr>
        <w:top w:val="single" w:color="auto" w:sz="4" w:space="0"/>
        <w:left w:val="single" w:color="auto" w:sz="4" w:space="0"/>
        <w:bottom w:val="single" w:color="auto" w:sz="4" w:space="0"/>
        <w:right w:val="single" w:color="auto" w:sz="4" w:space="0"/>
      </w:pBdr>
      <w:shd w:val="clear" w:color="000000" w:fill="E2EFDA"/>
      <w:spacing w:before="100" w:beforeAutospacing="1" w:after="100" w:afterAutospacing="1"/>
      <w:jc w:val="center"/>
      <w:textAlignment w:val="center"/>
    </w:pPr>
    <w:rPr>
      <w:rFonts w:ascii="黑体" w:hAnsi="黑体" w:eastAsia="黑体" w:cs="宋体"/>
      <w:b/>
      <w:bCs/>
      <w:color w:val="000000"/>
      <w:kern w:val="0"/>
      <w:sz w:val="20"/>
      <w:szCs w:val="20"/>
    </w:rPr>
  </w:style>
  <w:style w:type="paragraph" w:customStyle="1" w:styleId="113">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E2EFDA"/>
      <w:spacing w:before="100" w:beforeAutospacing="1" w:after="100" w:afterAutospacing="1"/>
      <w:jc w:val="center"/>
      <w:textAlignment w:val="center"/>
    </w:pPr>
    <w:rPr>
      <w:rFonts w:ascii="黑体" w:hAnsi="黑体" w:eastAsia="黑体" w:cs="宋体"/>
      <w:b/>
      <w:bCs/>
      <w:color w:val="000000"/>
      <w:kern w:val="0"/>
      <w:sz w:val="20"/>
      <w:szCs w:val="20"/>
    </w:rPr>
  </w:style>
  <w:style w:type="paragraph" w:customStyle="1" w:styleId="114">
    <w:name w:val="xl91"/>
    <w:basedOn w:val="1"/>
    <w:qFormat/>
    <w:uiPriority w:val="0"/>
    <w:pPr>
      <w:widowControl/>
      <w:pBdr>
        <w:top w:val="single" w:color="auto" w:sz="4" w:space="0"/>
        <w:left w:val="single" w:color="auto" w:sz="4" w:space="0"/>
        <w:bottom w:val="single" w:color="auto" w:sz="4" w:space="0"/>
        <w:right w:val="single" w:color="auto" w:sz="4" w:space="0"/>
      </w:pBdr>
      <w:shd w:val="clear" w:color="000000" w:fill="E2EFDA"/>
      <w:spacing w:before="100" w:beforeAutospacing="1" w:after="100" w:afterAutospacing="1"/>
      <w:jc w:val="center"/>
      <w:textAlignment w:val="center"/>
    </w:pPr>
    <w:rPr>
      <w:rFonts w:ascii="黑体" w:hAnsi="黑体" w:eastAsia="黑体" w:cs="宋体"/>
      <w:b/>
      <w:bCs/>
      <w:kern w:val="0"/>
      <w:sz w:val="20"/>
      <w:szCs w:val="20"/>
    </w:rPr>
  </w:style>
  <w:style w:type="paragraph" w:customStyle="1" w:styleId="115">
    <w:name w:val="xl92"/>
    <w:basedOn w:val="1"/>
    <w:qFormat/>
    <w:uiPriority w:val="0"/>
    <w:pPr>
      <w:widowControl/>
      <w:pBdr>
        <w:top w:val="single" w:color="auto" w:sz="4" w:space="0"/>
        <w:left w:val="single" w:color="auto" w:sz="4" w:space="0"/>
        <w:bottom w:val="single" w:color="auto" w:sz="4" w:space="0"/>
        <w:right w:val="single" w:color="auto" w:sz="4" w:space="0"/>
      </w:pBdr>
      <w:shd w:val="clear" w:color="000000" w:fill="E2EFDA"/>
      <w:spacing w:before="100" w:beforeAutospacing="1" w:after="100" w:afterAutospacing="1"/>
      <w:jc w:val="center"/>
      <w:textAlignment w:val="center"/>
    </w:pPr>
    <w:rPr>
      <w:rFonts w:ascii="黑体" w:hAnsi="黑体" w:eastAsia="黑体" w:cs="宋体"/>
      <w:b/>
      <w:bCs/>
      <w:color w:val="000000"/>
      <w:kern w:val="0"/>
      <w:sz w:val="20"/>
      <w:szCs w:val="20"/>
    </w:rPr>
  </w:style>
  <w:style w:type="paragraph" w:customStyle="1" w:styleId="116">
    <w:name w:val="xl93"/>
    <w:basedOn w:val="1"/>
    <w:qFormat/>
    <w:uiPriority w:val="0"/>
    <w:pPr>
      <w:widowControl/>
      <w:pBdr>
        <w:top w:val="single" w:color="auto" w:sz="4" w:space="0"/>
        <w:left w:val="single" w:color="auto" w:sz="4" w:space="0"/>
        <w:bottom w:val="single" w:color="auto" w:sz="4" w:space="0"/>
        <w:right w:val="single" w:color="auto" w:sz="4" w:space="0"/>
      </w:pBdr>
      <w:shd w:val="clear" w:color="000000" w:fill="E2EFDA"/>
      <w:spacing w:before="100" w:beforeAutospacing="1" w:after="100" w:afterAutospacing="1"/>
      <w:jc w:val="center"/>
      <w:textAlignment w:val="center"/>
    </w:pPr>
    <w:rPr>
      <w:rFonts w:ascii="黑体" w:hAnsi="黑体" w:eastAsia="黑体" w:cs="宋体"/>
      <w:b/>
      <w:bCs/>
      <w:kern w:val="0"/>
      <w:sz w:val="20"/>
      <w:szCs w:val="20"/>
    </w:rPr>
  </w:style>
  <w:style w:type="paragraph" w:customStyle="1" w:styleId="117">
    <w:name w:val="xl94"/>
    <w:basedOn w:val="1"/>
    <w:qFormat/>
    <w:uiPriority w:val="0"/>
    <w:pPr>
      <w:widowControl/>
      <w:pBdr>
        <w:top w:val="single" w:color="auto" w:sz="4" w:space="0"/>
        <w:left w:val="single" w:color="auto" w:sz="4" w:space="0"/>
        <w:right w:val="single" w:color="auto" w:sz="4" w:space="0"/>
      </w:pBdr>
      <w:shd w:val="clear" w:color="000000" w:fill="E2EFDA"/>
      <w:spacing w:before="100" w:beforeAutospacing="1" w:after="100" w:afterAutospacing="1"/>
      <w:jc w:val="center"/>
      <w:textAlignment w:val="center"/>
    </w:pPr>
    <w:rPr>
      <w:rFonts w:ascii="黑体" w:hAnsi="黑体" w:eastAsia="黑体" w:cs="宋体"/>
      <w:b/>
      <w:bCs/>
      <w:color w:val="000000"/>
      <w:kern w:val="0"/>
      <w:sz w:val="20"/>
      <w:szCs w:val="20"/>
    </w:rPr>
  </w:style>
  <w:style w:type="paragraph" w:customStyle="1" w:styleId="118">
    <w:name w:val="xl95"/>
    <w:basedOn w:val="1"/>
    <w:qFormat/>
    <w:uiPriority w:val="0"/>
    <w:pPr>
      <w:widowControl/>
      <w:pBdr>
        <w:left w:val="single" w:color="auto" w:sz="4" w:space="0"/>
        <w:right w:val="single" w:color="auto" w:sz="4" w:space="0"/>
      </w:pBdr>
      <w:shd w:val="clear" w:color="000000" w:fill="E2EFDA"/>
      <w:spacing w:before="100" w:beforeAutospacing="1" w:after="100" w:afterAutospacing="1"/>
      <w:jc w:val="center"/>
      <w:textAlignment w:val="center"/>
    </w:pPr>
    <w:rPr>
      <w:rFonts w:ascii="黑体" w:hAnsi="黑体" w:eastAsia="黑体" w:cs="宋体"/>
      <w:b/>
      <w:bCs/>
      <w:color w:val="000000"/>
      <w:kern w:val="0"/>
      <w:sz w:val="20"/>
      <w:szCs w:val="20"/>
    </w:rPr>
  </w:style>
  <w:style w:type="paragraph" w:customStyle="1" w:styleId="119">
    <w:name w:val="xl96"/>
    <w:basedOn w:val="1"/>
    <w:qFormat/>
    <w:uiPriority w:val="0"/>
    <w:pPr>
      <w:widowControl/>
      <w:pBdr>
        <w:left w:val="single" w:color="auto" w:sz="4" w:space="0"/>
        <w:bottom w:val="single" w:color="auto" w:sz="4" w:space="0"/>
        <w:right w:val="single" w:color="auto" w:sz="4" w:space="0"/>
      </w:pBdr>
      <w:shd w:val="clear" w:color="000000" w:fill="E2EFDA"/>
      <w:spacing w:before="100" w:beforeAutospacing="1" w:after="100" w:afterAutospacing="1"/>
      <w:jc w:val="center"/>
      <w:textAlignment w:val="center"/>
    </w:pPr>
    <w:rPr>
      <w:rFonts w:ascii="黑体" w:hAnsi="黑体" w:eastAsia="黑体" w:cs="宋体"/>
      <w:b/>
      <w:bCs/>
      <w:color w:val="000000"/>
      <w:kern w:val="0"/>
      <w:sz w:val="20"/>
      <w:szCs w:val="20"/>
    </w:rPr>
  </w:style>
  <w:style w:type="paragraph" w:customStyle="1" w:styleId="120">
    <w:name w:val="xl9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黑体" w:hAnsi="黑体" w:eastAsia="黑体" w:cs="宋体"/>
      <w:color w:val="FF0000"/>
      <w:kern w:val="0"/>
      <w:sz w:val="20"/>
      <w:szCs w:val="20"/>
    </w:rPr>
  </w:style>
  <w:style w:type="paragraph" w:customStyle="1" w:styleId="121">
    <w:name w:val="xl98"/>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黑体" w:hAnsi="黑体" w:eastAsia="黑体" w:cs="宋体"/>
      <w:color w:val="FF0000"/>
      <w:kern w:val="0"/>
      <w:sz w:val="20"/>
      <w:szCs w:val="20"/>
    </w:rPr>
  </w:style>
  <w:style w:type="paragraph" w:customStyle="1" w:styleId="122">
    <w:name w:val="xl9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黑体" w:hAnsi="黑体" w:eastAsia="黑体" w:cs="宋体"/>
      <w:color w:val="FF0000"/>
      <w:kern w:val="0"/>
      <w:sz w:val="20"/>
      <w:szCs w:val="20"/>
    </w:rPr>
  </w:style>
  <w:style w:type="paragraph" w:customStyle="1" w:styleId="123">
    <w:name w:val="xl100"/>
    <w:basedOn w:val="1"/>
    <w:qFormat/>
    <w:uiPriority w:val="0"/>
    <w:pPr>
      <w:widowControl/>
      <w:pBdr>
        <w:top w:val="single" w:color="auto" w:sz="4" w:space="0"/>
        <w:left w:val="single" w:color="auto" w:sz="4" w:space="0"/>
        <w:bottom w:val="single" w:color="auto" w:sz="4" w:space="0"/>
        <w:right w:val="single" w:color="auto" w:sz="4" w:space="0"/>
      </w:pBdr>
      <w:shd w:val="clear" w:color="000000" w:fill="E2EFDA"/>
      <w:spacing w:before="100" w:beforeAutospacing="1" w:after="100" w:afterAutospacing="1"/>
      <w:jc w:val="center"/>
      <w:textAlignment w:val="center"/>
    </w:pPr>
    <w:rPr>
      <w:rFonts w:ascii="宋体" w:hAnsi="宋体" w:eastAsia="宋体" w:cs="宋体"/>
      <w:kern w:val="0"/>
      <w:sz w:val="24"/>
      <w:szCs w:val="24"/>
    </w:rPr>
  </w:style>
  <w:style w:type="paragraph" w:customStyle="1" w:styleId="124">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FF0000"/>
      <w:kern w:val="0"/>
      <w:sz w:val="24"/>
      <w:szCs w:val="24"/>
    </w:rPr>
  </w:style>
  <w:style w:type="table" w:customStyle="1" w:styleId="125">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126">
    <w:name w:val="Table Paragraph"/>
    <w:basedOn w:val="1"/>
    <w:qFormat/>
    <w:uiPriority w:val="1"/>
    <w:pPr>
      <w:autoSpaceDE w:val="0"/>
      <w:autoSpaceDN w:val="0"/>
      <w:jc w:val="left"/>
    </w:pPr>
    <w:rPr>
      <w:rFonts w:ascii="宋体" w:hAnsi="宋体" w:eastAsia="宋体" w:cs="宋体"/>
      <w:kern w:val="0"/>
      <w:sz w:val="22"/>
      <w:lang w:eastAsia="en-US"/>
    </w:rPr>
  </w:style>
  <w:style w:type="paragraph" w:customStyle="1" w:styleId="127">
    <w:name w:val="font7"/>
    <w:basedOn w:val="1"/>
    <w:qFormat/>
    <w:uiPriority w:val="0"/>
    <w:pPr>
      <w:widowControl/>
      <w:spacing w:before="100" w:beforeAutospacing="1" w:after="100" w:afterAutospacing="1"/>
      <w:jc w:val="left"/>
    </w:pPr>
    <w:rPr>
      <w:rFonts w:ascii="Times New Roman" w:hAnsi="Times New Roman" w:eastAsia="宋体" w:cs="Times New Roman"/>
      <w:color w:val="000000"/>
      <w:kern w:val="0"/>
      <w:sz w:val="24"/>
      <w:szCs w:val="24"/>
    </w:rPr>
  </w:style>
  <w:style w:type="paragraph" w:customStyle="1" w:styleId="128">
    <w:name w:val="font8"/>
    <w:basedOn w:val="1"/>
    <w:qFormat/>
    <w:uiPriority w:val="0"/>
    <w:pPr>
      <w:widowControl/>
      <w:spacing w:before="100" w:beforeAutospacing="1" w:after="100" w:afterAutospacing="1"/>
      <w:jc w:val="left"/>
    </w:pPr>
    <w:rPr>
      <w:rFonts w:ascii="仿宋_GB2312" w:hAnsi="宋体" w:eastAsia="仿宋_GB2312" w:cs="宋体"/>
      <w:color w:val="000000"/>
      <w:kern w:val="0"/>
      <w:sz w:val="24"/>
      <w:szCs w:val="24"/>
    </w:rPr>
  </w:style>
  <w:style w:type="paragraph" w:customStyle="1" w:styleId="129">
    <w:name w:val="font9"/>
    <w:basedOn w:val="1"/>
    <w:qFormat/>
    <w:uiPriority w:val="0"/>
    <w:pPr>
      <w:widowControl/>
      <w:spacing w:before="100" w:beforeAutospacing="1" w:after="100" w:afterAutospacing="1"/>
      <w:jc w:val="left"/>
    </w:pPr>
    <w:rPr>
      <w:rFonts w:ascii="Times New Roman" w:hAnsi="Times New Roman" w:eastAsia="宋体" w:cs="Times New Roman"/>
      <w:color w:val="000000"/>
      <w:kern w:val="0"/>
      <w:sz w:val="18"/>
      <w:szCs w:val="18"/>
    </w:rPr>
  </w:style>
  <w:style w:type="paragraph" w:customStyle="1" w:styleId="130">
    <w:name w:val="font10"/>
    <w:basedOn w:val="1"/>
    <w:qFormat/>
    <w:uiPriority w:val="0"/>
    <w:pPr>
      <w:widowControl/>
      <w:spacing w:before="100" w:beforeAutospacing="1" w:after="100" w:afterAutospacing="1"/>
      <w:jc w:val="left"/>
    </w:pPr>
    <w:rPr>
      <w:rFonts w:ascii="仿宋_GB2312" w:hAnsi="仿宋_GB2312" w:eastAsia="仿宋_GB2312" w:cs="宋体"/>
      <w:color w:val="000000"/>
      <w:kern w:val="0"/>
      <w:sz w:val="18"/>
      <w:szCs w:val="18"/>
    </w:rPr>
  </w:style>
  <w:style w:type="paragraph" w:customStyle="1" w:styleId="131">
    <w:name w:val="font12"/>
    <w:basedOn w:val="1"/>
    <w:qFormat/>
    <w:uiPriority w:val="0"/>
    <w:pPr>
      <w:widowControl/>
      <w:spacing w:before="100" w:beforeAutospacing="1" w:after="100" w:afterAutospacing="1"/>
      <w:jc w:val="left"/>
    </w:pPr>
    <w:rPr>
      <w:rFonts w:ascii="Arial" w:hAnsi="Arial" w:eastAsia="宋体" w:cs="Arial"/>
      <w:color w:val="000000"/>
      <w:kern w:val="0"/>
      <w:sz w:val="18"/>
      <w:szCs w:val="18"/>
    </w:rPr>
  </w:style>
  <w:style w:type="paragraph" w:customStyle="1" w:styleId="132">
    <w:name w:val="font13"/>
    <w:basedOn w:val="1"/>
    <w:qFormat/>
    <w:uiPriority w:val="0"/>
    <w:pPr>
      <w:widowControl/>
      <w:spacing w:before="100" w:beforeAutospacing="1" w:after="100" w:afterAutospacing="1"/>
      <w:jc w:val="left"/>
    </w:pPr>
    <w:rPr>
      <w:rFonts w:ascii="Segoe UI Symbol" w:hAnsi="Segoe UI Symbol" w:eastAsia="宋体" w:cs="宋体"/>
      <w:color w:val="000000"/>
      <w:kern w:val="0"/>
      <w:sz w:val="18"/>
      <w:szCs w:val="18"/>
    </w:rPr>
  </w:style>
  <w:style w:type="paragraph" w:customStyle="1" w:styleId="133">
    <w:name w:val="font14"/>
    <w:basedOn w:val="1"/>
    <w:qFormat/>
    <w:uiPriority w:val="0"/>
    <w:pPr>
      <w:widowControl/>
      <w:spacing w:before="100" w:beforeAutospacing="1" w:after="100" w:afterAutospacing="1"/>
      <w:jc w:val="left"/>
    </w:pPr>
    <w:rPr>
      <w:rFonts w:ascii="仿宋_GB2312" w:hAnsi="仿宋_GB2312" w:eastAsia="仿宋_GB2312" w:cs="宋体"/>
      <w:color w:val="000000"/>
      <w:kern w:val="0"/>
      <w:sz w:val="18"/>
      <w:szCs w:val="18"/>
    </w:rPr>
  </w:style>
  <w:style w:type="paragraph" w:customStyle="1" w:styleId="134">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135">
    <w:name w:val="xl63"/>
    <w:basedOn w:val="1"/>
    <w:qFormat/>
    <w:uiPriority w:val="0"/>
    <w:pPr>
      <w:widowControl/>
      <w:spacing w:before="100" w:beforeAutospacing="1" w:after="100" w:afterAutospacing="1"/>
      <w:jc w:val="left"/>
      <w:textAlignment w:val="center"/>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11768F5-1BBD-4B0A-897C-D43F5079C521}">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Pages>
  <Words>23796</Words>
  <Characters>135639</Characters>
  <Lines>1130</Lines>
  <Paragraphs>318</Paragraphs>
  <TotalTime>0</TotalTime>
  <ScaleCrop>false</ScaleCrop>
  <LinksUpToDate>false</LinksUpToDate>
  <CharactersWithSpaces>159117</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2023-08-22T04:25:00Z</dcterms:created>
  <dc:creator>丁爱云</dc:creator>
  <cp:lastModifiedBy>Administrator</cp:lastModifiedBy>
  <cp:lastPrinted>2023-06-05T14:07:00Z</cp:lastPrinted>
  <dcterms:modified xsi:type="dcterms:W3CDTF">2024-01-08T08:53:18Z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3755DBF7961B4909A699FFE9FBE241CA</vt:lpwstr>
  </property>
</Properties>
</file>