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pacing w:val="8"/>
          <w:sz w:val="44"/>
          <w:szCs w:val="44"/>
          <w:lang w:val="en-US" w:eastAsia="zh-CN"/>
        </w:rPr>
      </w:pPr>
      <w:r>
        <w:rPr>
          <w:rFonts w:hint="eastAsia" w:ascii="方正小标宋简体" w:hAnsi="方正小标宋简体" w:eastAsia="方正小标宋简体" w:cs="方正小标宋简体"/>
          <w:spacing w:val="8"/>
          <w:sz w:val="44"/>
          <w:szCs w:val="44"/>
        </w:rPr>
        <w:t>2022年青浦区体育局部门整体支</w:t>
      </w:r>
      <w:r>
        <w:rPr>
          <w:rFonts w:hint="eastAsia" w:ascii="方正小标宋简体" w:hAnsi="方正小标宋简体" w:eastAsia="方正小标宋简体" w:cs="方正小标宋简体"/>
          <w:spacing w:val="8"/>
          <w:sz w:val="44"/>
          <w:szCs w:val="44"/>
          <w:lang w:val="en-US" w:eastAsia="zh-CN"/>
        </w:rPr>
        <w:t>出</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pacing w:val="8"/>
          <w:sz w:val="44"/>
          <w:szCs w:val="44"/>
          <w:lang w:val="en-US" w:eastAsia="zh-CN"/>
        </w:rPr>
        <w:t>绩效评价结果信息</w:t>
      </w:r>
    </w:p>
    <w:p>
      <w:pPr>
        <w:keepNext w:val="0"/>
        <w:keepLines w:val="0"/>
        <w:pageBreakBefore w:val="0"/>
        <w:kinsoku/>
        <w:wordWrap/>
        <w:overflowPunct/>
        <w:topLinePunct w:val="0"/>
        <w:autoSpaceDE/>
        <w:autoSpaceDN/>
        <w:bidi w:val="0"/>
        <w:adjustRightInd/>
        <w:snapToGrid/>
        <w:spacing w:line="560" w:lineRule="exact"/>
        <w:ind w:firstLine="684" w:firstLineChars="200"/>
        <w:textAlignment w:val="auto"/>
        <w:rPr>
          <w:rFonts w:ascii="Times New Roman" w:hAnsi="Times New Roman" w:eastAsia="黑体" w:cs="Times New Roman"/>
          <w:spacing w:val="11"/>
          <w:sz w:val="32"/>
          <w:szCs w:val="32"/>
        </w:rPr>
      </w:pPr>
    </w:p>
    <w:p>
      <w:pPr>
        <w:keepNext w:val="0"/>
        <w:keepLines w:val="0"/>
        <w:pageBreakBefore w:val="0"/>
        <w:kinsoku/>
        <w:wordWrap/>
        <w:overflowPunct/>
        <w:topLinePunct w:val="0"/>
        <w:autoSpaceDE/>
        <w:autoSpaceDN/>
        <w:bidi w:val="0"/>
        <w:adjustRightInd/>
        <w:snapToGrid/>
        <w:spacing w:line="560" w:lineRule="exact"/>
        <w:ind w:firstLine="684" w:firstLineChars="200"/>
        <w:textAlignment w:val="auto"/>
        <w:rPr>
          <w:rFonts w:ascii="Times New Roman" w:hAnsi="Times New Roman" w:eastAsia="黑体" w:cs="Times New Roman"/>
          <w:sz w:val="32"/>
          <w:szCs w:val="32"/>
        </w:rPr>
      </w:pPr>
      <w:r>
        <w:rPr>
          <w:rFonts w:ascii="Times New Roman" w:hAnsi="Times New Roman" w:eastAsia="黑体" w:cs="Times New Roman"/>
          <w:spacing w:val="11"/>
          <w:sz w:val="32"/>
          <w:szCs w:val="32"/>
        </w:rPr>
        <w:t>一</w:t>
      </w:r>
      <w:r>
        <w:rPr>
          <w:rFonts w:ascii="Times New Roman" w:hAnsi="Times New Roman" w:eastAsia="黑体" w:cs="Times New Roman"/>
          <w:spacing w:val="7"/>
          <w:sz w:val="32"/>
          <w:szCs w:val="32"/>
        </w:rPr>
        <w:t>、部门基本情况</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Times New Roman"/>
          <w:spacing w:val="-6"/>
          <w:sz w:val="32"/>
          <w:szCs w:val="32"/>
        </w:rPr>
      </w:pPr>
      <w:r>
        <w:rPr>
          <w:rFonts w:ascii="Times New Roman" w:hAnsi="Times New Roman" w:eastAsia="仿宋_GB2312" w:cs="Times New Roman"/>
          <w:spacing w:val="-6"/>
          <w:sz w:val="32"/>
          <w:szCs w:val="32"/>
        </w:rPr>
        <w:t>青浦区体育局（以下简称“区体育局”）是主管青浦区体育工作的区政府工作部门，根据《上海市青浦区体育局职能配置、内设机构和人员编制规定》（青委办〔2019〕58号），其主要职责包括指导、管理各部门、各行业和社会团体体育工作、协调全区体育健身设施的建设、承办或举办区级以上各类体育竞赛活动、指导、推进青少年体育工作和加强体教结合、负责经营高危险性体育项目的许可等。内设3个科室分别为办公室、竞赛训练科、社会体育科，下属4个正科级事业单位分别为青浦区体育中心（以下简称“体育中心”）、青浦区体育训练中心（以下简称“训练中心”）、青浦区社会体育指导中心（以下简称“社会体育指导中心”）和青浦区少年业余体育学校（以下简称“少年业余体育学校”）。</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Times New Roman"/>
          <w:spacing w:val="-6"/>
          <w:sz w:val="32"/>
          <w:szCs w:val="32"/>
        </w:rPr>
      </w:pPr>
      <w:r>
        <w:rPr>
          <w:rFonts w:ascii="Times New Roman" w:hAnsi="Times New Roman" w:eastAsia="仿宋_GB2312" w:cs="Times New Roman"/>
          <w:spacing w:val="-6"/>
          <w:sz w:val="32"/>
          <w:szCs w:val="32"/>
        </w:rPr>
        <w:t>评价组从部门职责出发，综合青浦区体育行业十四五规划、服务对象、目前正在实施的33个重点项目工作性质及其内容进行归类汇总，经与区体育局沟通后，梳理出体现体育局核心职能的五大核心职能：行政性审批与监管；体育场地、设施建设与运营管理；社会体育工作；青少年体育工作；体育产业发展引导工作。</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Times New Roman"/>
          <w:spacing w:val="-6"/>
          <w:sz w:val="32"/>
          <w:szCs w:val="32"/>
        </w:rPr>
      </w:pPr>
      <w:r>
        <w:rPr>
          <w:rFonts w:ascii="Times New Roman" w:hAnsi="Times New Roman" w:eastAsia="仿宋_GB2312" w:cs="Times New Roman"/>
          <w:spacing w:val="-6"/>
          <w:sz w:val="32"/>
          <w:szCs w:val="32"/>
        </w:rPr>
        <w:t>区体育局2022年工作根据《青浦区体育改革发展“十四五”规划》（青府办发〔2021〕53号）、部门年度工作计划及重点任务执行，其中涉及23项中长期事项、19项重点工作与梳理后的五大核心职能相匹配。基于19项重点工作内容，评价组结合2022年49个一级项目、57个二级项目内容，梳理出33个与重点工作、核心职能匹配的重点项目。区体育局2022年绩效目标包括创造良好的体育法制环境、构筑“15分钟体育生活圈”、提升竞技体育综合实力、优化体育产业空间布局等。</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Times New Roman"/>
          <w:spacing w:val="-6"/>
          <w:sz w:val="32"/>
          <w:szCs w:val="32"/>
        </w:rPr>
      </w:pPr>
      <w:r>
        <w:rPr>
          <w:rFonts w:ascii="Times New Roman" w:hAnsi="Times New Roman" w:eastAsia="仿宋_GB2312" w:cs="Times New Roman"/>
          <w:spacing w:val="-6"/>
          <w:sz w:val="32"/>
          <w:szCs w:val="32"/>
        </w:rPr>
        <w:t>2022年，区体育局部门年初预算9,868.48万元，部门年中预算调增686.17万元，调整后预算为10,554.65万元，预算调整率为6.95%，实际支出10,517.81万元，预算执行率为99.65%。总体预算调整幅度不大，部分子项由于部门人员结构调整、疫情原因及实际执行进度进行了调整。2022年末结转结余资金均为项目资金。2022年预算绩效管理结果得到有效整改应用，预决算信息及时公开，资产管理规范，按照资产报废审批流程执行。</w:t>
      </w:r>
    </w:p>
    <w:p>
      <w:pPr>
        <w:keepNext w:val="0"/>
        <w:keepLines w:val="0"/>
        <w:pageBreakBefore w:val="0"/>
        <w:kinsoku/>
        <w:wordWrap/>
        <w:overflowPunct/>
        <w:topLinePunct w:val="0"/>
        <w:autoSpaceDE/>
        <w:autoSpaceDN/>
        <w:bidi w:val="0"/>
        <w:adjustRightInd/>
        <w:snapToGrid/>
        <w:spacing w:line="560" w:lineRule="exact"/>
        <w:ind w:firstLine="676" w:firstLineChars="200"/>
        <w:textAlignment w:val="auto"/>
        <w:rPr>
          <w:rFonts w:ascii="Times New Roman" w:hAnsi="Times New Roman" w:eastAsia="黑体" w:cs="Times New Roman"/>
          <w:sz w:val="32"/>
          <w:szCs w:val="32"/>
        </w:rPr>
      </w:pPr>
      <w:r>
        <w:rPr>
          <w:rFonts w:ascii="Times New Roman" w:hAnsi="Times New Roman" w:eastAsia="黑体" w:cs="Times New Roman"/>
          <w:spacing w:val="9"/>
          <w:sz w:val="32"/>
          <w:szCs w:val="32"/>
        </w:rPr>
        <w:t>二</w:t>
      </w:r>
      <w:r>
        <w:rPr>
          <w:rFonts w:ascii="Times New Roman" w:hAnsi="Times New Roman" w:eastAsia="黑体" w:cs="Times New Roman"/>
          <w:spacing w:val="8"/>
          <w:sz w:val="32"/>
          <w:szCs w:val="32"/>
        </w:rPr>
        <w:t>、评价工作开展情况</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bookmarkStart w:id="2" w:name="_GoBack"/>
      <w:r>
        <w:rPr>
          <w:rFonts w:ascii="Times New Roman" w:hAnsi="Times New Roman" w:eastAsia="仿宋" w:cs="Times New Roman"/>
          <w:b/>
          <w:bCs/>
          <w:sz w:val="32"/>
          <w:szCs w:val="32"/>
        </w:rPr>
        <w:t>上海文汇工程咨询有限公司</w:t>
      </w:r>
      <w:bookmarkEnd w:id="2"/>
      <w:r>
        <w:rPr>
          <w:rFonts w:ascii="Times New Roman" w:hAnsi="Times New Roman" w:eastAsia="仿宋_GB2312" w:cs="Times New Roman"/>
          <w:sz w:val="32"/>
          <w:szCs w:val="32"/>
        </w:rPr>
        <w:t>根据青浦区体育局部门特点、部门整体支出评价目的、委托方要求以及前期调研初步发现的问题，梳理了本次评价重点关注的内容包括部门职责对应的核心职能活动、中长期规划、重点工作、重点项目之间的匹配性，部门财政预算管理情况，重点关注预算编制合理性及调整程序的规范性，政府采购类项目的采购管理、工程管理、合同管理规范情况，部门履职成效与财政资金使用效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评价工作组根据评价重点，梳理出体现体育局核心职能的五大职能活动，并访谈、核对项目执行成果性材料及梳理项目预算调整执行明细、梳理政府采购项目采购文件、项目合同、工程概算、审计审价文件及资金支付记录等，同时结合访谈及问卷调研、专家意见，形成以下评价结果。</w:t>
      </w:r>
    </w:p>
    <w:p>
      <w:pPr>
        <w:keepNext w:val="0"/>
        <w:keepLines w:val="0"/>
        <w:pageBreakBefore w:val="0"/>
        <w:kinsoku/>
        <w:wordWrap/>
        <w:overflowPunct/>
        <w:topLinePunct w:val="0"/>
        <w:autoSpaceDE/>
        <w:autoSpaceDN/>
        <w:bidi w:val="0"/>
        <w:adjustRightInd/>
        <w:snapToGrid/>
        <w:spacing w:line="560" w:lineRule="exact"/>
        <w:ind w:firstLine="676" w:firstLineChars="200"/>
        <w:textAlignment w:val="auto"/>
        <w:rPr>
          <w:rFonts w:ascii="Times New Roman" w:hAnsi="Times New Roman" w:eastAsia="黑体" w:cs="Times New Roman"/>
          <w:sz w:val="32"/>
          <w:szCs w:val="32"/>
        </w:rPr>
      </w:pPr>
      <w:r>
        <w:rPr>
          <w:rFonts w:ascii="Times New Roman" w:hAnsi="Times New Roman" w:eastAsia="黑体" w:cs="Times New Roman"/>
          <w:spacing w:val="9"/>
          <w:sz w:val="32"/>
          <w:szCs w:val="32"/>
        </w:rPr>
        <w:t>三</w:t>
      </w:r>
      <w:r>
        <w:rPr>
          <w:rFonts w:ascii="Times New Roman" w:hAnsi="Times New Roman" w:eastAsia="黑体" w:cs="Times New Roman"/>
          <w:spacing w:val="8"/>
          <w:sz w:val="32"/>
          <w:szCs w:val="32"/>
        </w:rPr>
        <w:t>、评价结论和主要绩效</w:t>
      </w:r>
    </w:p>
    <w:p>
      <w:pPr>
        <w:keepNext w:val="0"/>
        <w:keepLines w:val="0"/>
        <w:pageBreakBefore w:val="0"/>
        <w:kinsoku/>
        <w:wordWrap/>
        <w:overflowPunct/>
        <w:topLinePunct w:val="0"/>
        <w:autoSpaceDE/>
        <w:autoSpaceDN/>
        <w:bidi w:val="0"/>
        <w:adjustRightInd/>
        <w:snapToGrid/>
        <w:spacing w:line="560" w:lineRule="exact"/>
        <w:ind w:firstLine="672" w:firstLineChars="200"/>
        <w:textAlignment w:val="auto"/>
        <w:rPr>
          <w:rFonts w:ascii="Times New Roman" w:hAnsi="Times New Roman" w:eastAsia="仿宋_GB2312" w:cs="Times New Roman"/>
          <w:spacing w:val="8"/>
          <w:sz w:val="32"/>
          <w:szCs w:val="32"/>
        </w:rPr>
      </w:pPr>
      <w:r>
        <w:rPr>
          <w:rFonts w:ascii="Times New Roman" w:hAnsi="Times New Roman" w:eastAsia="仿宋_GB2312" w:cs="Times New Roman"/>
          <w:spacing w:val="8"/>
          <w:sz w:val="32"/>
          <w:szCs w:val="32"/>
        </w:rPr>
        <w:t>运用由项目组设计并通过专家组论证的评价指标体系及评分标准，通过数据采集、访谈以及问卷调查，对青浦区体育局部门整体支出项目绩效进行客观评价。最终评分结果：总得分为90.65分，按照绩效评级标准，评价等级为“优”。其中，部门决策指标得分率为68%，部门管理指标得分率为91.50%，部门产出指标得分率为100%，部门效果指标得分率为90.91%。</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总体来看，本项目绩效完成情况较好，具体如下：</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hint="eastAsia" w:ascii="宋体" w:hAnsi="宋体" w:eastAsia="宋体" w:cs="宋体"/>
          <w:b/>
          <w:bCs/>
          <w:sz w:val="32"/>
          <w:szCs w:val="32"/>
        </w:rPr>
        <w:t>①</w:t>
      </w:r>
      <w:r>
        <w:rPr>
          <w:rFonts w:ascii="Times New Roman" w:hAnsi="Times New Roman" w:eastAsia="仿宋_GB2312" w:cs="Times New Roman"/>
          <w:b/>
          <w:bCs/>
          <w:sz w:val="32"/>
          <w:szCs w:val="32"/>
        </w:rPr>
        <w:t>部门决策方面：</w:t>
      </w:r>
      <w:r>
        <w:rPr>
          <w:rFonts w:ascii="Times New Roman" w:hAnsi="Times New Roman" w:eastAsia="仿宋_GB2312" w:cs="Times New Roman"/>
          <w:sz w:val="32"/>
          <w:szCs w:val="32"/>
        </w:rPr>
        <w:t>部门职能明确且边界清晰，2022年部门工作参考《青浦区体育改革发展“十四五”规划》（青府办发〔2021〕53号）执行，其中23项规划、19项年度重点工作与核心职能匹配。人员与公用经费预算均参照定额标准编制，项目预算编制参考历史经验及相关行业标准。区体育局制定了年度绩效目标并对部分绩效目标细化至具体指标。</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hint="eastAsia" w:ascii="宋体" w:hAnsi="宋体" w:eastAsia="宋体" w:cs="宋体"/>
          <w:b/>
          <w:bCs/>
          <w:sz w:val="32"/>
          <w:szCs w:val="32"/>
        </w:rPr>
        <w:t>②</w:t>
      </w:r>
      <w:r>
        <w:rPr>
          <w:rFonts w:ascii="Times New Roman" w:hAnsi="Times New Roman" w:eastAsia="仿宋_GB2312" w:cs="Times New Roman"/>
          <w:b/>
          <w:bCs/>
          <w:sz w:val="32"/>
          <w:szCs w:val="32"/>
        </w:rPr>
        <w:t>部门管理方面：</w:t>
      </w:r>
      <w:r>
        <w:rPr>
          <w:rFonts w:ascii="Times New Roman" w:hAnsi="Times New Roman" w:eastAsia="仿宋_GB2312" w:cs="Times New Roman"/>
          <w:sz w:val="32"/>
          <w:szCs w:val="32"/>
        </w:rPr>
        <w:t>2022年预算总体调整幅度不大，但是部分子项调整率较高，资金使用合规。结转结余资金管理符合青浦区相关规定，公务卡及现金管理规范，预决算信息公开及时规范，委外项目采购管理规范，资产管理规范。</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仿宋_GB2312" w:cs="Times New Roman"/>
          <w:sz w:val="32"/>
          <w:szCs w:val="32"/>
        </w:rPr>
      </w:pPr>
      <w:r>
        <w:rPr>
          <w:rFonts w:hint="eastAsia" w:ascii="宋体" w:hAnsi="宋体" w:eastAsia="宋体" w:cs="宋体"/>
          <w:b/>
          <w:bCs/>
          <w:sz w:val="32"/>
          <w:szCs w:val="32"/>
        </w:rPr>
        <w:t>③</w:t>
      </w:r>
      <w:r>
        <w:rPr>
          <w:rFonts w:ascii="Times New Roman" w:hAnsi="Times New Roman" w:eastAsia="仿宋_GB2312" w:cs="Times New Roman"/>
          <w:b/>
          <w:bCs/>
          <w:sz w:val="32"/>
          <w:szCs w:val="32"/>
        </w:rPr>
        <w:t>部门产出方面：</w:t>
      </w:r>
      <w:r>
        <w:rPr>
          <w:rFonts w:ascii="Times New Roman" w:hAnsi="Times New Roman" w:eastAsia="仿宋_GB2312" w:cs="Times New Roman"/>
          <w:sz w:val="32"/>
          <w:szCs w:val="32"/>
        </w:rPr>
        <w:t>行业监管工作按计划完成且问题整改和纠纷处理率达到100；建成首家“长者运动健康之家”，新建改建2个社区市民健身中心，新改建6条健身步道，新改建2个市民健身驿站，以上建设项目均验收合格。体育场馆日常开放经营工作规范运行，体育设施巡查工作到位。各类群众性体育活动、全民健身活动、培训活动、区域赛事及体质监测活动均按计划完成，宣传推广内容符合大众需求，培训考核达标，体质监测达标率超过99%。为二线运动队输送13名运动员，未发生赛事活动安全事故，业训工作均到位。扶持资金均已按照审核结果发放准确。</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hint="eastAsia" w:ascii="宋体" w:hAnsi="宋体" w:eastAsia="宋体" w:cs="宋体"/>
          <w:b/>
          <w:bCs/>
          <w:sz w:val="32"/>
          <w:szCs w:val="32"/>
        </w:rPr>
        <w:t>④</w:t>
      </w:r>
      <w:r>
        <w:rPr>
          <w:rFonts w:ascii="Times New Roman" w:hAnsi="Times New Roman" w:eastAsia="仿宋_GB2312" w:cs="Times New Roman"/>
          <w:b/>
          <w:bCs/>
          <w:sz w:val="32"/>
          <w:szCs w:val="32"/>
        </w:rPr>
        <w:t>部门效果方面：</w:t>
      </w:r>
      <w:r>
        <w:rPr>
          <w:rFonts w:ascii="Times New Roman" w:hAnsi="Times New Roman" w:eastAsia="仿宋_GB2312" w:cs="Times New Roman"/>
          <w:sz w:val="32"/>
          <w:szCs w:val="32"/>
        </w:rPr>
        <w:t>体育消费环境有所改善，人均体育场地面积达到2.6平方米/人，体育设施使用效率较高，青浦全民健身发展300指数靠前，青少年体质健康水平有所上升，区体育产业规模有所扩大。区域赛事联动机制健全，体育设施智慧化服务水平较高，群众满意度、青少年运动员满意度、扶持企业满意度均超过85%。</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但是，仍存在以下不足之处：</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hint="eastAsia" w:ascii="宋体" w:hAnsi="宋体" w:eastAsia="宋体" w:cs="宋体"/>
          <w:b/>
          <w:bCs/>
          <w:sz w:val="32"/>
          <w:szCs w:val="32"/>
        </w:rPr>
        <w:t>①</w:t>
      </w:r>
      <w:r>
        <w:rPr>
          <w:rFonts w:ascii="Times New Roman" w:hAnsi="Times New Roman" w:eastAsia="仿宋_GB2312" w:cs="Times New Roman"/>
          <w:b/>
          <w:bCs/>
          <w:sz w:val="32"/>
          <w:szCs w:val="32"/>
        </w:rPr>
        <w:t>部门决策方面：</w:t>
      </w:r>
      <w:r>
        <w:rPr>
          <w:rFonts w:ascii="Times New Roman" w:hAnsi="Times New Roman" w:eastAsia="仿宋_GB2312" w:cs="Times New Roman"/>
          <w:sz w:val="32"/>
          <w:szCs w:val="32"/>
        </w:rPr>
        <w:t>预算编制合理性有待增强，绩效目标及指标有待进一步完善。</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hint="eastAsia" w:ascii="宋体" w:hAnsi="宋体" w:eastAsia="宋体" w:cs="宋体"/>
          <w:b/>
          <w:bCs/>
          <w:sz w:val="32"/>
          <w:szCs w:val="32"/>
        </w:rPr>
        <w:t>②</w:t>
      </w:r>
      <w:r>
        <w:rPr>
          <w:rFonts w:ascii="Times New Roman" w:hAnsi="Times New Roman" w:eastAsia="仿宋_GB2312" w:cs="Times New Roman"/>
          <w:b/>
          <w:bCs/>
          <w:sz w:val="32"/>
          <w:szCs w:val="32"/>
        </w:rPr>
        <w:t>部门管理方面：</w:t>
      </w:r>
      <w:r>
        <w:rPr>
          <w:rFonts w:ascii="Times New Roman" w:hAnsi="Times New Roman" w:eastAsia="仿宋_GB2312" w:cs="Times New Roman"/>
          <w:sz w:val="32"/>
          <w:szCs w:val="32"/>
        </w:rPr>
        <w:t>预算调整合理性有待加强，绩效管理有待规范，业务管理制度有待健全。</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hint="eastAsia" w:ascii="宋体" w:hAnsi="宋体" w:eastAsia="宋体" w:cs="宋体"/>
          <w:b/>
          <w:bCs/>
          <w:sz w:val="32"/>
          <w:szCs w:val="32"/>
        </w:rPr>
        <w:t>③</w:t>
      </w:r>
      <w:r>
        <w:rPr>
          <w:rFonts w:ascii="Times New Roman" w:hAnsi="Times New Roman" w:eastAsia="仿宋_GB2312" w:cs="Times New Roman"/>
          <w:b/>
          <w:bCs/>
          <w:sz w:val="32"/>
          <w:szCs w:val="32"/>
        </w:rPr>
        <w:t>部门效果方面：</w:t>
      </w:r>
      <w:r>
        <w:rPr>
          <w:rFonts w:ascii="Times New Roman" w:hAnsi="Times New Roman" w:eastAsia="仿宋_GB2312" w:cs="Times New Roman"/>
          <w:sz w:val="32"/>
          <w:szCs w:val="32"/>
        </w:rPr>
        <w:t>竞技体育赛事效果有待提升。</w:t>
      </w:r>
    </w:p>
    <w:p>
      <w:pPr>
        <w:keepNext w:val="0"/>
        <w:keepLines w:val="0"/>
        <w:pageBreakBefore w:val="0"/>
        <w:kinsoku/>
        <w:wordWrap/>
        <w:overflowPunct/>
        <w:topLinePunct w:val="0"/>
        <w:autoSpaceDE/>
        <w:autoSpaceDN/>
        <w:bidi w:val="0"/>
        <w:adjustRightInd/>
        <w:snapToGrid/>
        <w:spacing w:line="560" w:lineRule="exact"/>
        <w:ind w:firstLine="684" w:firstLineChars="200"/>
        <w:textAlignment w:val="auto"/>
        <w:rPr>
          <w:rFonts w:ascii="Times New Roman" w:hAnsi="Times New Roman" w:eastAsia="黑体" w:cs="Times New Roman"/>
          <w:sz w:val="32"/>
          <w:szCs w:val="32"/>
        </w:rPr>
      </w:pPr>
      <w:r>
        <w:rPr>
          <w:rFonts w:ascii="Times New Roman" w:hAnsi="Times New Roman" w:eastAsia="黑体" w:cs="Times New Roman"/>
          <w:spacing w:val="11"/>
          <w:sz w:val="32"/>
          <w:szCs w:val="32"/>
        </w:rPr>
        <w:t>四</w:t>
      </w:r>
      <w:r>
        <w:rPr>
          <w:rFonts w:ascii="Times New Roman" w:hAnsi="Times New Roman" w:eastAsia="黑体" w:cs="Times New Roman"/>
          <w:spacing w:val="7"/>
          <w:sz w:val="32"/>
          <w:szCs w:val="32"/>
        </w:rPr>
        <w:t>、主要经验、问题和建议</w:t>
      </w:r>
    </w:p>
    <w:p>
      <w:pPr>
        <w:keepNext w:val="0"/>
        <w:keepLines w:val="0"/>
        <w:pageBreakBefore w:val="0"/>
        <w:kinsoku/>
        <w:wordWrap/>
        <w:overflowPunct/>
        <w:topLinePunct w:val="0"/>
        <w:autoSpaceDE/>
        <w:autoSpaceDN/>
        <w:bidi w:val="0"/>
        <w:adjustRightInd/>
        <w:snapToGrid/>
        <w:spacing w:line="560" w:lineRule="exact"/>
        <w:ind w:firstLine="627" w:firstLineChars="200"/>
        <w:textAlignment w:val="auto"/>
        <w:rPr>
          <w:rFonts w:ascii="Times New Roman" w:hAnsi="Times New Roman" w:eastAsia="仿宋_GB2312" w:cs="Times New Roman"/>
          <w:b/>
          <w:bCs/>
          <w:spacing w:val="-4"/>
          <w:sz w:val="32"/>
          <w:szCs w:val="32"/>
        </w:rPr>
      </w:pPr>
      <w:r>
        <w:rPr>
          <w:rFonts w:ascii="Times New Roman" w:hAnsi="Times New Roman" w:eastAsia="仿宋_GB2312" w:cs="Times New Roman"/>
          <w:b/>
          <w:bCs/>
          <w:spacing w:val="-4"/>
          <w:sz w:val="32"/>
          <w:szCs w:val="32"/>
        </w:rPr>
        <w:t>（一）主要经验及做法</w:t>
      </w:r>
    </w:p>
    <w:p>
      <w:pPr>
        <w:keepNext w:val="0"/>
        <w:keepLines w:val="0"/>
        <w:pageBreakBefore w:val="0"/>
        <w:kinsoku/>
        <w:wordWrap/>
        <w:overflowPunct/>
        <w:topLinePunct w:val="0"/>
        <w:autoSpaceDE/>
        <w:autoSpaceDN/>
        <w:bidi w:val="0"/>
        <w:adjustRightInd/>
        <w:snapToGrid/>
        <w:spacing w:line="560" w:lineRule="exact"/>
        <w:ind w:firstLine="627" w:firstLineChars="200"/>
        <w:textAlignment w:val="auto"/>
        <w:rPr>
          <w:rFonts w:ascii="Times New Roman" w:hAnsi="Times New Roman" w:eastAsia="仿宋_GB2312" w:cs="Times New Roman"/>
          <w:b/>
          <w:bCs/>
          <w:spacing w:val="-4"/>
          <w:sz w:val="32"/>
          <w:szCs w:val="32"/>
        </w:rPr>
      </w:pPr>
      <w:r>
        <w:rPr>
          <w:rFonts w:ascii="Times New Roman" w:hAnsi="Times New Roman" w:eastAsia="仿宋_GB2312" w:cs="Times New Roman"/>
          <w:b/>
          <w:bCs/>
          <w:spacing w:val="-4"/>
          <w:sz w:val="32"/>
          <w:szCs w:val="32"/>
        </w:rPr>
        <w:t>1.社会体育方面，区域赛事联动机制健全，灵活开展线上线下区域体育赛事</w:t>
      </w:r>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以上海城市业余联赛为主线，通过线上与线下相结合的方式灵活开展。区体育局2022年共参与多项区域赛事，比如2022年上海市《国家体育锻炼标准》达标赛青浦区分站赛，2022年兴业银行杯上海市城市联赛青浦区太极拳比赛2022年上海城市业余联赛广播操复赛，2022年上海社区健康运动会（乒乓球、羽毛球、中国象棋、太极拳），2022年上海社区健康运动会（红色定向、九子运动、三对三篮球、门球），青浦区还计划实施华人龙舟赛、马拉松等大型赛事（疫情原因延期），区域赛事联络沟通协作机制健全。</w:t>
      </w:r>
    </w:p>
    <w:p>
      <w:pPr>
        <w:keepNext w:val="0"/>
        <w:keepLines w:val="0"/>
        <w:pageBreakBefore w:val="0"/>
        <w:kinsoku/>
        <w:wordWrap/>
        <w:overflowPunct/>
        <w:topLinePunct w:val="0"/>
        <w:autoSpaceDE/>
        <w:autoSpaceDN/>
        <w:bidi w:val="0"/>
        <w:adjustRightInd/>
        <w:snapToGrid/>
        <w:spacing w:line="560" w:lineRule="exact"/>
        <w:ind w:firstLine="627" w:firstLineChars="200"/>
        <w:textAlignment w:val="auto"/>
        <w:rPr>
          <w:rFonts w:ascii="Times New Roman" w:hAnsi="Times New Roman" w:eastAsia="仿宋_GB2312" w:cs="Times New Roman"/>
          <w:b/>
          <w:bCs/>
          <w:spacing w:val="-4"/>
          <w:sz w:val="32"/>
          <w:szCs w:val="32"/>
        </w:rPr>
      </w:pPr>
      <w:r>
        <w:rPr>
          <w:rFonts w:ascii="Times New Roman" w:hAnsi="Times New Roman" w:eastAsia="仿宋_GB2312" w:cs="Times New Roman"/>
          <w:b/>
          <w:bCs/>
          <w:spacing w:val="-4"/>
          <w:sz w:val="32"/>
          <w:szCs w:val="32"/>
        </w:rPr>
        <w:t>2.竞技体育方面，开展自主办训、体教结合、社会办训多元办训</w:t>
      </w:r>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支持引导社会办训进校园，自主办训、体教结合、社会办训三类队伍参加市运会，开展足篮排、乒羽网、棒球、武术、帆船、帆板等项目公益培训进校园，近万人次受益。22家社会机构参与27个项目的社会办训，3家社会办训单位被评为上海市竞技体育后备人才社会培养基地。</w:t>
      </w:r>
    </w:p>
    <w:p>
      <w:pPr>
        <w:keepNext w:val="0"/>
        <w:keepLines w:val="0"/>
        <w:pageBreakBefore w:val="0"/>
        <w:kinsoku/>
        <w:wordWrap/>
        <w:overflowPunct/>
        <w:topLinePunct w:val="0"/>
        <w:autoSpaceDE/>
        <w:autoSpaceDN/>
        <w:bidi w:val="0"/>
        <w:adjustRightInd/>
        <w:snapToGrid/>
        <w:spacing w:line="560" w:lineRule="exact"/>
        <w:ind w:firstLine="627" w:firstLineChars="200"/>
        <w:textAlignment w:val="auto"/>
        <w:rPr>
          <w:rFonts w:ascii="Times New Roman" w:hAnsi="Times New Roman" w:eastAsia="仿宋_GB2312" w:cs="Times New Roman"/>
          <w:b/>
          <w:bCs/>
          <w:spacing w:val="-4"/>
          <w:sz w:val="32"/>
          <w:szCs w:val="32"/>
        </w:rPr>
      </w:pPr>
      <w:bookmarkStart w:id="0" w:name="_Hlk144108097"/>
      <w:r>
        <w:rPr>
          <w:rFonts w:ascii="Times New Roman" w:hAnsi="Times New Roman" w:eastAsia="仿宋_GB2312" w:cs="Times New Roman"/>
          <w:b/>
          <w:bCs/>
          <w:spacing w:val="-4"/>
          <w:sz w:val="32"/>
          <w:szCs w:val="32"/>
        </w:rPr>
        <w:t>（二）存在问题</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r>
        <w:rPr>
          <w:rFonts w:cs="Times New Roman"/>
          <w:b/>
          <w:bCs/>
          <w:sz w:val="32"/>
          <w:szCs w:val="32"/>
        </w:rPr>
        <w:t>1.项目预算编制与调整方面，项目设置原则与必要性、预算编制与调整合理性有待增强</w:t>
      </w:r>
    </w:p>
    <w:bookmarkEnd w:id="0"/>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sz w:val="32"/>
          <w:szCs w:val="32"/>
        </w:rPr>
      </w:pPr>
      <w:r>
        <w:rPr>
          <w:rFonts w:hint="eastAsia" w:ascii="宋体" w:hAnsi="宋体" w:eastAsia="宋体" w:cs="宋体"/>
          <w:b/>
          <w:bCs/>
          <w:sz w:val="32"/>
          <w:szCs w:val="32"/>
        </w:rPr>
        <w:t>①</w:t>
      </w:r>
      <w:r>
        <w:rPr>
          <w:rFonts w:cs="Times New Roman"/>
          <w:b/>
          <w:bCs/>
          <w:sz w:val="32"/>
          <w:szCs w:val="32"/>
        </w:rPr>
        <w:t>项目设置原则及必要性有待进一步明确：</w:t>
      </w:r>
      <w:r>
        <w:rPr>
          <w:rFonts w:cs="Times New Roman"/>
          <w:sz w:val="32"/>
          <w:szCs w:val="32"/>
        </w:rPr>
        <w:t>区体育局2022年合计49个一级项目57个二级项目，预算金额为20万元以下的二级项目数量为30个，占比二级项目总数的52.63%，且其中包含20个二级项目与一级项目同名，如“单用途预付消费卡管理经费”“创建15分钟体育生活圈项目”“体育健身设施维修、社会指导员管理经费”“场地调查项目”“健身驿站项目”等，项目设置原则、分类属性不够清晰。此外，区体育局2022年57个二级项目中，部分非政府购买服务项目，如“单用途预付消费卡管理经费”项目，该项目属于体育场所巡查类工作，且其预算占比较低、调整幅度较大的情况下项目工作仍已完成，其项目设立的必要性有待进一步考量。</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sz w:val="32"/>
          <w:szCs w:val="32"/>
        </w:rPr>
      </w:pPr>
      <w:r>
        <w:rPr>
          <w:rFonts w:hint="eastAsia" w:ascii="宋体" w:hAnsi="宋体" w:eastAsia="宋体" w:cs="宋体"/>
          <w:b/>
          <w:bCs/>
          <w:sz w:val="32"/>
          <w:szCs w:val="32"/>
        </w:rPr>
        <w:t>②</w:t>
      </w:r>
      <w:r>
        <w:rPr>
          <w:rFonts w:cs="Times New Roman"/>
          <w:b/>
          <w:bCs/>
          <w:sz w:val="32"/>
          <w:szCs w:val="32"/>
        </w:rPr>
        <w:t>预算编制与调整合理性有待增强：</w:t>
      </w:r>
      <w:r>
        <w:rPr>
          <w:rFonts w:cs="Times New Roman"/>
          <w:sz w:val="32"/>
          <w:szCs w:val="32"/>
        </w:rPr>
        <w:t>部分项目预算编制依据不充分，如“学校保安经费”未见明确的预算编制依据，“青浦区体育局长者健康运动之家项目”无明确编制依据，且在预算调整率高达92.97%的情况下完成了计划工作。部分项目年初安排预算，年中调减预算，年末执行超年初预算数，如“优秀教练员工作室（简）”项目；部分项目年初未安排预算、年中未调整预算、年末有实际支出，如“健身气功、科学健身指导管理项目”等7个项目，虽然以上7个项目部分资金来源于其他收入，但是年中未执行预算调整程序。</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bookmarkStart w:id="1" w:name="_Hlk144108130"/>
      <w:r>
        <w:rPr>
          <w:rFonts w:cs="Times New Roman"/>
          <w:b/>
          <w:bCs/>
          <w:sz w:val="32"/>
          <w:szCs w:val="32"/>
        </w:rPr>
        <w:t>2.绩效目标管理方面，绩效目标与指标值不够清晰，预算绩效管理有待增强</w:t>
      </w:r>
    </w:p>
    <w:bookmarkEnd w:id="1"/>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ascii="宋体" w:hAnsi="宋体" w:eastAsia="宋体" w:cs="宋体"/>
          <w:sz w:val="32"/>
          <w:szCs w:val="32"/>
        </w:rPr>
        <w:t>①</w:t>
      </w:r>
      <w:r>
        <w:rPr>
          <w:rFonts w:cs="Times New Roman"/>
          <w:sz w:val="32"/>
          <w:szCs w:val="32"/>
        </w:rPr>
        <w:t>根据部门整体绩效目标申报表，年度绩效目标主要内容为积极开展群众体育、青少年体育、重大体育赛事活动等工作，集中于市十七届运动会、世界华人龙舟邀请赛和体教结合项目，无法涵盖19项重点工作内容，部门绩效目标设置不够完整。</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ascii="宋体" w:hAnsi="宋体" w:eastAsia="宋体" w:cs="宋体"/>
          <w:sz w:val="32"/>
          <w:szCs w:val="32"/>
        </w:rPr>
        <w:t>②</w:t>
      </w:r>
      <w:r>
        <w:rPr>
          <w:rFonts w:cs="Times New Roman"/>
          <w:sz w:val="32"/>
          <w:szCs w:val="32"/>
        </w:rPr>
        <w:t>绩效指标值不够清晰、比如“内部控制报告报送完整性、及时性”对应的目标值为“健全”，“政府会计准则制度执行有效性”对应的目标值为“完善”；部门绩效目标与年度的任务数或计划数对应不够，2022年工作计划中提及新建改建5条市民健身步道、5片多功能运动场，30个市民益智健身苑点、1家市民健身驿站、1家长者运动健康之家、2个社区市民健身中心，推动体育文化中心二期、环城水系三期内体育设施建设，绩效目标表中只有提及基建竣工决算及时，绩效目标中关于体教结合、龙舟赛事、马拉松的目标值年度计划无量化数据；绩效指标仅涵盖部门预算内容中的体教结合、长三角地区体育赛事联盟项目，与部门年度预算资金内容不匹配。</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ascii="宋体" w:hAnsi="宋体" w:eastAsia="宋体" w:cs="宋体"/>
          <w:sz w:val="32"/>
          <w:szCs w:val="32"/>
        </w:rPr>
        <w:t>③</w:t>
      </w:r>
      <w:r>
        <w:rPr>
          <w:rFonts w:cs="Times New Roman"/>
          <w:sz w:val="32"/>
          <w:szCs w:val="32"/>
        </w:rPr>
        <w:t>2022年一级项目合计49个，但是项目绩效目标填报数为30个，项目绩效目标填报覆盖率为61.22%。此外，2021年自评项目数与2020年绩效目标申报数不一致，2022年自评项目数与2021年绩效目标申报数不一致。</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r>
        <w:rPr>
          <w:rFonts w:cs="Times New Roman"/>
          <w:b/>
          <w:bCs/>
          <w:sz w:val="32"/>
          <w:szCs w:val="32"/>
        </w:rPr>
        <w:t>3.业务管理方面，项目管理制度有待进一步完善</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cs="Times New Roman"/>
          <w:sz w:val="32"/>
          <w:szCs w:val="32"/>
        </w:rPr>
        <w:t>区体育局49个一级项目中，14个项目有明确的项目管理制度参照执行，数量占比28.57%，其他35个项目未见明确的管理制度或相关规范要求。此外，在社会体育方面，区内各类群众性体育活动基本委托第三方执行，但是社会体育指导中心未制定明确的项目管理制度如第三方监管措施或相关管理规范。</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r>
        <w:rPr>
          <w:rFonts w:cs="Times New Roman"/>
          <w:b/>
          <w:bCs/>
          <w:sz w:val="32"/>
          <w:szCs w:val="32"/>
        </w:rPr>
        <w:t>4.体育工作成效方面，青少年体育成效欠佳</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cs="Times New Roman"/>
          <w:sz w:val="32"/>
          <w:szCs w:val="32"/>
        </w:rPr>
        <w:t>2022年青浦区参赛项目和参赛人数均为历届市运会之最，共获得14.5金29.5银19.25铜、总分1632.75分，荣获2019—2022年度“奥全运突出贡献奖”，2名教练员被评为2018—2021年度上海市“十佳青训教练员”“优秀青训教练员”，但2022年十七届运动会成绩不太理想，相较于市十六届运动会26金22.5银34铜、总分1745.50分的成绩，金牌数少了11.5、银牌数多了7、铜牌数少了14.75、总分少了112.75分。根据访谈，原因为师资力量较为薄弱，体制内专业教练员数量较少，且可选择的优质社会体育组织较少，部分学校学生引进集训数量较少。</w:t>
      </w:r>
    </w:p>
    <w:p>
      <w:pPr>
        <w:keepNext w:val="0"/>
        <w:keepLines w:val="0"/>
        <w:pageBreakBefore w:val="0"/>
        <w:kinsoku/>
        <w:wordWrap/>
        <w:overflowPunct/>
        <w:topLinePunct w:val="0"/>
        <w:autoSpaceDE/>
        <w:autoSpaceDN/>
        <w:bidi w:val="0"/>
        <w:adjustRightInd/>
        <w:snapToGrid/>
        <w:spacing w:line="560" w:lineRule="exact"/>
        <w:ind w:firstLine="627" w:firstLineChars="200"/>
        <w:textAlignment w:val="auto"/>
        <w:rPr>
          <w:rFonts w:ascii="Times New Roman" w:hAnsi="Times New Roman" w:eastAsia="仿宋_GB2312" w:cs="Times New Roman"/>
          <w:b/>
          <w:bCs/>
          <w:spacing w:val="-4"/>
          <w:sz w:val="32"/>
          <w:szCs w:val="32"/>
        </w:rPr>
      </w:pPr>
      <w:r>
        <w:rPr>
          <w:rFonts w:ascii="Times New Roman" w:hAnsi="Times New Roman" w:eastAsia="仿宋_GB2312" w:cs="Times New Roman"/>
          <w:b/>
          <w:bCs/>
          <w:spacing w:val="-4"/>
          <w:sz w:val="32"/>
          <w:szCs w:val="32"/>
        </w:rPr>
        <w:t>（三）建议和改进举措</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r>
        <w:rPr>
          <w:rFonts w:cs="Times New Roman"/>
          <w:b/>
          <w:bCs/>
          <w:sz w:val="32"/>
          <w:szCs w:val="32"/>
        </w:rPr>
        <w:t>1.项目预算编制与调整方面，明确项目归类属性，规范预算编制与调整</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ascii="宋体" w:hAnsi="宋体" w:eastAsia="宋体" w:cs="宋体"/>
          <w:sz w:val="32"/>
          <w:szCs w:val="32"/>
        </w:rPr>
        <w:t>①</w:t>
      </w:r>
      <w:r>
        <w:rPr>
          <w:rFonts w:cs="Times New Roman"/>
          <w:sz w:val="32"/>
          <w:szCs w:val="32"/>
        </w:rPr>
        <w:t>建议区体育局围绕部门五大核心职能：行政性审批与监管；体育场地、设施建设与运营管理；社会体育工作；青少年体育工作；体育产业发展引导工作，结合年度重点工作及重点任务，合并同名的一级、二级项目，精简项目设置，避免项目内容及预算安排的重复。具体实施路径建议先将49个一级项目根据项目类别或性质进行归类，如归类为设施设备采购类、公共场地场馆及设施运营管理类、政府购买服务类、巡查管理类、补贴类、体育赛事类、信息化类等，其次在根据类别设置一级项目名称的基础上，将与一级项目属性、工作内容一致的项目归集至二级项目，以此类推进一步细分至三级项目，从而精简各级项目设置，为后续同类项目的预算及实施管理做准备。此外，针对属于部门行政监管职能范围内的工作，建议与区财政局沟通是否纳入公用经费开支，重新考虑其项目设立的必要性。</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ascii="宋体" w:hAnsi="宋体" w:eastAsia="宋体" w:cs="宋体"/>
          <w:sz w:val="32"/>
          <w:szCs w:val="32"/>
        </w:rPr>
        <w:t>②</w:t>
      </w:r>
      <w:r>
        <w:rPr>
          <w:rFonts w:cs="Times New Roman"/>
          <w:sz w:val="32"/>
          <w:szCs w:val="32"/>
        </w:rPr>
        <w:t>建议区体育局在下年度预算编制时，根据历史经验、行业报价、工作计划等，完善预算编制数量、单价依据。如因客观原因调整工作计划或调增其他同级财政拨款收入，应同步调整项目预算，执行规范的预算调整程序，做到预算编制与调整有迹可循，符合财政预算管理规范要求。</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r>
        <w:rPr>
          <w:rFonts w:cs="Times New Roman"/>
          <w:b/>
          <w:bCs/>
          <w:sz w:val="32"/>
          <w:szCs w:val="32"/>
        </w:rPr>
        <w:t>2.绩效目标管理方面，细化量化绩效指标，规范预算绩效管理</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cs="Times New Roman"/>
          <w:sz w:val="32"/>
          <w:szCs w:val="32"/>
        </w:rPr>
        <w:t>建议区体育局以后年度围绕部门核心职能，根据年度工作计划对应编制部门绩效目标，覆盖年度重点工作任务，在此基础上，与归类汇总后的项目数量及预算内容相匹配，做到不遗漏、无重复，同时对应填报项目的绩效目标开展绩效评价工作，完善部门预算绩效目标管理。</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r>
        <w:rPr>
          <w:rFonts w:cs="Times New Roman"/>
          <w:b/>
          <w:bCs/>
          <w:sz w:val="32"/>
          <w:szCs w:val="32"/>
        </w:rPr>
        <w:t>3.业务管理方面，分类完善项目实施、监管与经费管理制度</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cs="Times New Roman"/>
          <w:sz w:val="32"/>
          <w:szCs w:val="32"/>
        </w:rPr>
        <w:t>建议区体育局在结合核心职能对项目分类汇总的基础上，针对未建立明确管理制度规范的项目，按照项目类别或性质建立并完善相关管理制度，如公共健身场所监督管理办法、体育设备设施采购管理办法、政府购买服务类项目的第三方监管措施、群众性体育活动管理办法、竞技体育赛事管理办法等，同时参照国家、市、区相关赛事、经费管理办法，结合青浦区体育赛事规模、训练水平等，制定适用于青浦区的体育赛事相关管理办法。</w:t>
      </w:r>
    </w:p>
    <w:p>
      <w:pPr>
        <w:pStyle w:val="31"/>
        <w:keepNext w:val="0"/>
        <w:keepLines w:val="0"/>
        <w:pageBreakBefore w:val="0"/>
        <w:kinsoku/>
        <w:wordWrap/>
        <w:overflowPunct/>
        <w:topLinePunct w:val="0"/>
        <w:autoSpaceDE/>
        <w:autoSpaceDN/>
        <w:bidi w:val="0"/>
        <w:adjustRightInd/>
        <w:snapToGrid/>
        <w:spacing w:line="560" w:lineRule="exact"/>
        <w:ind w:firstLine="562"/>
        <w:textAlignment w:val="auto"/>
        <w:rPr>
          <w:rFonts w:cs="Times New Roman"/>
          <w:b/>
          <w:bCs/>
          <w:sz w:val="32"/>
          <w:szCs w:val="32"/>
        </w:rPr>
      </w:pPr>
      <w:r>
        <w:rPr>
          <w:rFonts w:cs="Times New Roman"/>
          <w:b/>
          <w:bCs/>
          <w:sz w:val="32"/>
          <w:szCs w:val="32"/>
        </w:rPr>
        <w:t>4.体育成效推进方面，合理规划调整赛事训练安排，积极引进优质体育人才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建议区体育局总结赛事成功经验及失利教训，有针对性地规划调整赛事训练科室、教练、后勤等安排。同时，根据青浦区的体育人才存量情况，适量引进优质体育人才，增加高质量高水平运动健将，提高运动员竞技水平。</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五、结果应用</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cs="Times New Roman"/>
          <w:sz w:val="32"/>
          <w:szCs w:val="32"/>
        </w:rPr>
        <w:t>根据报告中提出的问题，现整改如下:</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项目预算编制与调整方面，项目设置原则与必要性、预算编制与调整合理性有待增强</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cs="Times New Roman"/>
          <w:sz w:val="32"/>
          <w:szCs w:val="32"/>
        </w:rPr>
        <w:t>针对上述反映的问题，</w:t>
      </w:r>
      <w:r>
        <w:rPr>
          <w:rFonts w:hint="eastAsia" w:cs="Times New Roman"/>
          <w:sz w:val="32"/>
          <w:szCs w:val="32"/>
          <w:lang w:val="en-US" w:eastAsia="zh-CN"/>
        </w:rPr>
        <w:t>体育局</w:t>
      </w:r>
      <w:r>
        <w:rPr>
          <w:rFonts w:hint="eastAsia" w:cs="Times New Roman"/>
          <w:sz w:val="32"/>
          <w:szCs w:val="32"/>
        </w:rPr>
        <w:t>在编制2024年项目预算时，涉及一、二级项目同名已进行了优化调整，并完善了新增项目的编制依据。</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（二）绩效目标管理方面，绩效目标与指标值不够清晰，预算绩效管理有待增强</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cs="Times New Roman"/>
          <w:sz w:val="32"/>
          <w:szCs w:val="32"/>
        </w:rPr>
        <w:t>针对上述反映的问题，</w:t>
      </w:r>
      <w:r>
        <w:rPr>
          <w:rFonts w:hint="eastAsia" w:cs="Times New Roman"/>
          <w:sz w:val="32"/>
          <w:szCs w:val="32"/>
          <w:lang w:eastAsia="zh-CN"/>
        </w:rPr>
        <w:t>体育局</w:t>
      </w:r>
      <w:r>
        <w:rPr>
          <w:rFonts w:hint="eastAsia" w:cs="Times New Roman"/>
          <w:sz w:val="32"/>
          <w:szCs w:val="32"/>
        </w:rPr>
        <w:t>对2024年的绩效目标和指标值进行修改，进一步明确预算绩效管理要达到的目标，加强绩效目标管理的针对性和实效性。青少年体育委托项目中，对绩效任务进行了明确，并细化了完成不同绩效目标对应的经费保障标准。</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（三）业务管理方面，项目管理制度有待进一步完善</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cs="Times New Roman"/>
          <w:sz w:val="32"/>
          <w:szCs w:val="32"/>
        </w:rPr>
      </w:pPr>
      <w:r>
        <w:rPr>
          <w:rFonts w:hint="eastAsia" w:cs="Times New Roman"/>
          <w:sz w:val="32"/>
          <w:szCs w:val="32"/>
        </w:rPr>
        <w:t>针对上述反映的问题，</w:t>
      </w:r>
      <w:r>
        <w:rPr>
          <w:rFonts w:hint="eastAsia" w:cs="Times New Roman"/>
          <w:sz w:val="32"/>
          <w:szCs w:val="32"/>
          <w:lang w:eastAsia="zh-CN"/>
        </w:rPr>
        <w:t>体育局</w:t>
      </w:r>
      <w:r>
        <w:rPr>
          <w:rFonts w:hint="eastAsia" w:cs="Times New Roman"/>
          <w:sz w:val="32"/>
          <w:szCs w:val="32"/>
        </w:rPr>
        <w:t>将进一步规范工作制度，加强和规范工作流程，做到制度管人，责任到人，任务到人，努力提升工作能力和服务水平。</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（四）体育工作成效方面，青少年体育成效欠佳</w:t>
      </w:r>
    </w:p>
    <w:p>
      <w:pPr>
        <w:pStyle w:val="31"/>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cs="Times New Roman"/>
          <w:sz w:val="32"/>
          <w:szCs w:val="32"/>
          <w:lang w:val="en-US" w:eastAsia="zh-CN"/>
        </w:rPr>
      </w:pPr>
      <w:r>
        <w:rPr>
          <w:rFonts w:hint="eastAsia" w:cs="Times New Roman"/>
          <w:sz w:val="32"/>
          <w:szCs w:val="32"/>
        </w:rPr>
        <w:t>针对上述反映的问题，一是科学谋划新周期学校布训项目。在原有体育项目“一条龙”布训基础上，树立区队校办理念，进一步优化布局，拓展项目。与区教育局共同筛选各中小学传统优势体育项目，将38所学校（24个项目70项次）纳入2023-2026年青浦区体育项目布训学校名单，明确布训单位工作职责，建立评估机制，进一步发挥体育项目布训学校在增强青少年体质健康和发掘体育后备人才方面的引领示范作用。二是逐步提升基层办训单位训练质量。</w:t>
      </w:r>
      <w:r>
        <w:rPr>
          <w:rFonts w:cs="Times New Roman"/>
          <w:sz w:val="32"/>
          <w:szCs w:val="32"/>
        </w:rPr>
        <w:t>以国家</w:t>
      </w:r>
      <w:r>
        <w:rPr>
          <w:rFonts w:hint="eastAsia" w:cs="Times New Roman"/>
          <w:sz w:val="32"/>
          <w:szCs w:val="32"/>
        </w:rPr>
        <w:t>重点</w:t>
      </w:r>
      <w:r>
        <w:rPr>
          <w:rFonts w:cs="Times New Roman"/>
          <w:sz w:val="32"/>
          <w:szCs w:val="32"/>
        </w:rPr>
        <w:t>高水平体育后备人才基地建设为主线，</w:t>
      </w:r>
      <w:r>
        <w:rPr>
          <w:rFonts w:hint="eastAsia" w:cs="Times New Roman"/>
          <w:sz w:val="32"/>
          <w:szCs w:val="32"/>
        </w:rPr>
        <w:t>围绕</w:t>
      </w:r>
      <w:r>
        <w:rPr>
          <w:rFonts w:cs="Times New Roman"/>
          <w:sz w:val="32"/>
          <w:szCs w:val="32"/>
        </w:rPr>
        <w:t>年度招生</w:t>
      </w:r>
      <w:r>
        <w:rPr>
          <w:rFonts w:hint="eastAsia" w:cs="Times New Roman"/>
          <w:sz w:val="32"/>
          <w:szCs w:val="32"/>
        </w:rPr>
        <w:t>、</w:t>
      </w:r>
      <w:r>
        <w:rPr>
          <w:rFonts w:cs="Times New Roman"/>
          <w:sz w:val="32"/>
          <w:szCs w:val="32"/>
        </w:rPr>
        <w:t>项目梯队</w:t>
      </w:r>
      <w:r>
        <w:rPr>
          <w:rFonts w:hint="eastAsia" w:cs="Times New Roman"/>
          <w:sz w:val="32"/>
          <w:szCs w:val="32"/>
        </w:rPr>
        <w:t>建设、暑期集训和外出</w:t>
      </w:r>
      <w:r>
        <w:rPr>
          <w:rFonts w:cs="Times New Roman"/>
          <w:sz w:val="32"/>
          <w:szCs w:val="32"/>
        </w:rPr>
        <w:t>参赛</w:t>
      </w:r>
      <w:r>
        <w:rPr>
          <w:rFonts w:hint="eastAsia" w:cs="Times New Roman"/>
          <w:sz w:val="32"/>
          <w:szCs w:val="32"/>
        </w:rPr>
        <w:t>等主要工作，突出抓好区办二线运动队、特色优势项目和</w:t>
      </w:r>
      <w:r>
        <w:rPr>
          <w:rFonts w:cs="Times New Roman"/>
          <w:sz w:val="32"/>
          <w:szCs w:val="32"/>
        </w:rPr>
        <w:t>优秀教练员工作室</w:t>
      </w:r>
      <w:r>
        <w:rPr>
          <w:rFonts w:hint="eastAsia" w:cs="Times New Roman"/>
          <w:sz w:val="32"/>
          <w:szCs w:val="32"/>
        </w:rPr>
        <w:t>的建设</w:t>
      </w:r>
      <w:r>
        <w:rPr>
          <w:rFonts w:cs="Times New Roman"/>
          <w:sz w:val="32"/>
          <w:szCs w:val="32"/>
        </w:rPr>
        <w:t>，切实抓好</w:t>
      </w:r>
      <w:r>
        <w:rPr>
          <w:rFonts w:hint="eastAsia" w:cs="Times New Roman"/>
          <w:sz w:val="32"/>
          <w:szCs w:val="32"/>
        </w:rPr>
        <w:t>基层</w:t>
      </w:r>
      <w:r>
        <w:rPr>
          <w:rFonts w:cs="Times New Roman"/>
          <w:sz w:val="32"/>
          <w:szCs w:val="32"/>
        </w:rPr>
        <w:t>办训单位</w:t>
      </w:r>
      <w:r>
        <w:rPr>
          <w:rFonts w:hint="eastAsia" w:cs="Times New Roman"/>
          <w:sz w:val="32"/>
          <w:szCs w:val="32"/>
        </w:rPr>
        <w:t>的全面建设</w:t>
      </w:r>
      <w:r>
        <w:rPr>
          <w:rFonts w:cs="Times New Roman"/>
          <w:sz w:val="32"/>
          <w:szCs w:val="32"/>
        </w:rPr>
        <w:t>发展</w:t>
      </w:r>
      <w:r>
        <w:rPr>
          <w:rFonts w:hint="eastAsia" w:cs="Times New Roman"/>
          <w:sz w:val="32"/>
          <w:szCs w:val="32"/>
        </w:rPr>
        <w:t>，</w:t>
      </w:r>
      <w:r>
        <w:rPr>
          <w:rFonts w:cs="Times New Roman"/>
          <w:sz w:val="32"/>
          <w:szCs w:val="32"/>
        </w:rPr>
        <w:t>强化</w:t>
      </w:r>
      <w:r>
        <w:rPr>
          <w:rFonts w:hint="eastAsia" w:cs="Times New Roman"/>
          <w:sz w:val="32"/>
          <w:szCs w:val="32"/>
        </w:rPr>
        <w:t>训练中心和少体校</w:t>
      </w:r>
      <w:r>
        <w:rPr>
          <w:rFonts w:cs="Times New Roman"/>
          <w:sz w:val="32"/>
          <w:szCs w:val="32"/>
        </w:rPr>
        <w:t>龙头带训作用，努力提高运动员训练的系统性、科学化和技战术水平。</w:t>
      </w:r>
      <w:r>
        <w:rPr>
          <w:rFonts w:hint="eastAsia" w:cs="Times New Roman"/>
          <w:sz w:val="32"/>
          <w:szCs w:val="32"/>
        </w:rPr>
        <w:t>三是积极组织举办区级青少年体育赛事，以赛代练提升我区青少年体育项目技战术水平，并通过比赛为区队选拔和发现更多优秀体育后备苗子。本年度计划完成武术、羽毛球、击剑、跆拳道、游泳、冰壶等青少年体育赛事。</w:t>
      </w:r>
    </w:p>
    <w:sectPr>
      <w:headerReference r:id="rId3" w:type="default"/>
      <w:footerReference r:id="rId4" w:type="default"/>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仿宋_GB2312">
    <w:altName w:val="微软雅黑"/>
    <w:panose1 w:val="00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422"/>
        <w:tab w:val="center" w:pos="6378"/>
        <w:tab w:val="clear" w:pos="4153"/>
        <w:tab w:val="clear" w:pos="8306"/>
      </w:tabs>
      <w:rPr>
        <w:rFonts w:ascii="Times New Roman" w:hAnsi="Times New Roman"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287</w:t>
                    </w:r>
                    <w:r>
                      <w:fldChar w:fldCharType="end"/>
                    </w:r>
                  </w:p>
                </w:txbxContent>
              </v:textbox>
            </v:shape>
          </w:pict>
        </mc:Fallback>
      </mc:AlternateContent>
    </w:r>
    <w:r>
      <w:rPr>
        <w:rFonts w:ascii="Times New Roman" w:hAnsi="Times New Roman" w:cs="Times New Roman"/>
      </w:rPr>
      <w:tab/>
    </w:r>
    <w:r>
      <w:rPr>
        <w:rFonts w:ascii="Times New Roman" w:hAnsi="Times New Roman" w:cs="Times New Roma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B303CC5"/>
    <w:multiLevelType w:val="multilevel"/>
    <w:tmpl w:val="FB303CC5"/>
    <w:lvl w:ilvl="0" w:tentative="0">
      <w:start w:val="1"/>
      <w:numFmt w:val="chineseCounting"/>
      <w:pStyle w:val="35"/>
      <w:suff w:val="nothing"/>
      <w:lvlText w:val="%1、"/>
      <w:lvlJc w:val="left"/>
      <w:pPr>
        <w:tabs>
          <w:tab w:val="left" w:pos="1134"/>
        </w:tabs>
        <w:ind w:left="979" w:firstLine="0"/>
      </w:pPr>
      <w:rPr>
        <w:rFonts w:hint="eastAsia"/>
      </w:rPr>
    </w:lvl>
    <w:lvl w:ilvl="1" w:tentative="0">
      <w:start w:val="1"/>
      <w:numFmt w:val="chineseCounting"/>
      <w:suff w:val="nothing"/>
      <w:lvlText w:val="（%2）"/>
      <w:lvlJc w:val="left"/>
      <w:pPr>
        <w:ind w:left="-13" w:firstLine="0"/>
      </w:pPr>
      <w:rPr>
        <w:rFonts w:hint="eastAsia"/>
      </w:rPr>
    </w:lvl>
    <w:lvl w:ilvl="2" w:tentative="0">
      <w:start w:val="1"/>
      <w:numFmt w:val="decimal"/>
      <w:suff w:val="nothing"/>
      <w:lvlText w:val="%3．"/>
      <w:lvlJc w:val="left"/>
      <w:pPr>
        <w:ind w:left="-13" w:firstLine="400"/>
      </w:pPr>
      <w:rPr>
        <w:rFonts w:hint="eastAsia"/>
      </w:rPr>
    </w:lvl>
    <w:lvl w:ilvl="3" w:tentative="0">
      <w:start w:val="1"/>
      <w:numFmt w:val="decimal"/>
      <w:suff w:val="nothing"/>
      <w:lvlText w:val="（%4）"/>
      <w:lvlJc w:val="left"/>
      <w:pPr>
        <w:ind w:left="293" w:firstLine="402"/>
      </w:pPr>
      <w:rPr>
        <w:rFonts w:hint="eastAsia"/>
      </w:rPr>
    </w:lvl>
    <w:lvl w:ilvl="4" w:tentative="0">
      <w:start w:val="1"/>
      <w:numFmt w:val="decimalEnclosedCircleChinese"/>
      <w:suff w:val="nothing"/>
      <w:lvlText w:val="%5"/>
      <w:lvlJc w:val="left"/>
      <w:pPr>
        <w:ind w:left="-13" w:firstLine="402"/>
      </w:pPr>
      <w:rPr>
        <w:rFonts w:hint="eastAsia"/>
      </w:rPr>
    </w:lvl>
    <w:lvl w:ilvl="5" w:tentative="0">
      <w:start w:val="1"/>
      <w:numFmt w:val="decimal"/>
      <w:suff w:val="nothing"/>
      <w:lvlText w:val="%6）"/>
      <w:lvlJc w:val="left"/>
      <w:pPr>
        <w:ind w:left="-13" w:firstLine="402"/>
      </w:pPr>
      <w:rPr>
        <w:rFonts w:hint="eastAsia"/>
      </w:rPr>
    </w:lvl>
    <w:lvl w:ilvl="6" w:tentative="0">
      <w:start w:val="1"/>
      <w:numFmt w:val="lowerLetter"/>
      <w:suff w:val="nothing"/>
      <w:lvlText w:val="%7．"/>
      <w:lvlJc w:val="left"/>
      <w:pPr>
        <w:ind w:left="-13" w:firstLine="402"/>
      </w:pPr>
      <w:rPr>
        <w:rFonts w:hint="eastAsia"/>
      </w:rPr>
    </w:lvl>
    <w:lvl w:ilvl="7" w:tentative="0">
      <w:start w:val="1"/>
      <w:numFmt w:val="lowerLetter"/>
      <w:suff w:val="nothing"/>
      <w:lvlText w:val="%8）"/>
      <w:lvlJc w:val="left"/>
      <w:pPr>
        <w:ind w:left="-13" w:firstLine="402"/>
      </w:pPr>
      <w:rPr>
        <w:rFonts w:hint="eastAsia"/>
      </w:rPr>
    </w:lvl>
    <w:lvl w:ilvl="8" w:tentative="0">
      <w:start w:val="1"/>
      <w:numFmt w:val="lowerRoman"/>
      <w:suff w:val="nothing"/>
      <w:lvlText w:val="%9 "/>
      <w:lvlJc w:val="left"/>
      <w:pPr>
        <w:ind w:left="-13"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hideSpellingErrors/>
  <w:hideGrammaticalErrors/>
  <w:documentProtection w:enforcement="0"/>
  <w:defaultTabStop w:val="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0NjA5ZWRkNzQxMjFkZWYzNTE3NWQ2Y2YwNTQxM2EifQ=="/>
    <w:docVar w:name="KSO_WPS_MARK_KEY" w:val="2eb657a2-187c-426b-b00d-9d4389bbd3cd"/>
  </w:docVars>
  <w:rsids>
    <w:rsidRoot w:val="00215D9C"/>
    <w:rsid w:val="00002226"/>
    <w:rsid w:val="00002633"/>
    <w:rsid w:val="00002916"/>
    <w:rsid w:val="00002A04"/>
    <w:rsid w:val="00003717"/>
    <w:rsid w:val="00005191"/>
    <w:rsid w:val="0000725C"/>
    <w:rsid w:val="0001107B"/>
    <w:rsid w:val="00011BEB"/>
    <w:rsid w:val="000140D8"/>
    <w:rsid w:val="00015652"/>
    <w:rsid w:val="00022698"/>
    <w:rsid w:val="00023734"/>
    <w:rsid w:val="00027CA6"/>
    <w:rsid w:val="0003357B"/>
    <w:rsid w:val="00033C31"/>
    <w:rsid w:val="00034AF3"/>
    <w:rsid w:val="000404C2"/>
    <w:rsid w:val="00041516"/>
    <w:rsid w:val="00042EF8"/>
    <w:rsid w:val="0004303B"/>
    <w:rsid w:val="000433E3"/>
    <w:rsid w:val="00053666"/>
    <w:rsid w:val="000550A2"/>
    <w:rsid w:val="00061EDD"/>
    <w:rsid w:val="00065B4A"/>
    <w:rsid w:val="00066701"/>
    <w:rsid w:val="0006754F"/>
    <w:rsid w:val="0007143E"/>
    <w:rsid w:val="00072736"/>
    <w:rsid w:val="000741F6"/>
    <w:rsid w:val="0007528B"/>
    <w:rsid w:val="00081C06"/>
    <w:rsid w:val="00085EB5"/>
    <w:rsid w:val="00095DD4"/>
    <w:rsid w:val="00096F13"/>
    <w:rsid w:val="000A147F"/>
    <w:rsid w:val="000A21B0"/>
    <w:rsid w:val="000B1343"/>
    <w:rsid w:val="000B14CE"/>
    <w:rsid w:val="000B3933"/>
    <w:rsid w:val="000B6230"/>
    <w:rsid w:val="000C1992"/>
    <w:rsid w:val="000C2322"/>
    <w:rsid w:val="000C527D"/>
    <w:rsid w:val="000C54E9"/>
    <w:rsid w:val="000C6D64"/>
    <w:rsid w:val="000D05DB"/>
    <w:rsid w:val="000D0684"/>
    <w:rsid w:val="000D12CC"/>
    <w:rsid w:val="000D3CF1"/>
    <w:rsid w:val="000E2CDC"/>
    <w:rsid w:val="000E411D"/>
    <w:rsid w:val="000E7127"/>
    <w:rsid w:val="000F3726"/>
    <w:rsid w:val="000F6587"/>
    <w:rsid w:val="000F6D64"/>
    <w:rsid w:val="00106DA0"/>
    <w:rsid w:val="001108D4"/>
    <w:rsid w:val="001154D9"/>
    <w:rsid w:val="00116CAB"/>
    <w:rsid w:val="00117F2E"/>
    <w:rsid w:val="001241FE"/>
    <w:rsid w:val="00125EB1"/>
    <w:rsid w:val="00127A3F"/>
    <w:rsid w:val="00130B23"/>
    <w:rsid w:val="00133186"/>
    <w:rsid w:val="0013699A"/>
    <w:rsid w:val="00137CE7"/>
    <w:rsid w:val="00142D0C"/>
    <w:rsid w:val="0015057D"/>
    <w:rsid w:val="00156857"/>
    <w:rsid w:val="0015763F"/>
    <w:rsid w:val="00157C3A"/>
    <w:rsid w:val="00163C6E"/>
    <w:rsid w:val="001643E4"/>
    <w:rsid w:val="001655E5"/>
    <w:rsid w:val="00172F83"/>
    <w:rsid w:val="00176E6C"/>
    <w:rsid w:val="001772A3"/>
    <w:rsid w:val="00180966"/>
    <w:rsid w:val="001818CF"/>
    <w:rsid w:val="00181CC6"/>
    <w:rsid w:val="00182E22"/>
    <w:rsid w:val="00184FE3"/>
    <w:rsid w:val="00185BD0"/>
    <w:rsid w:val="00194A82"/>
    <w:rsid w:val="001959AF"/>
    <w:rsid w:val="001A2529"/>
    <w:rsid w:val="001A45D6"/>
    <w:rsid w:val="001A6CC4"/>
    <w:rsid w:val="001B05AE"/>
    <w:rsid w:val="001B4F39"/>
    <w:rsid w:val="001B544C"/>
    <w:rsid w:val="001B690A"/>
    <w:rsid w:val="001C5B28"/>
    <w:rsid w:val="001C71DC"/>
    <w:rsid w:val="001D1C34"/>
    <w:rsid w:val="001D408E"/>
    <w:rsid w:val="001D5A64"/>
    <w:rsid w:val="001D5E1D"/>
    <w:rsid w:val="001E07EA"/>
    <w:rsid w:val="001E141D"/>
    <w:rsid w:val="001E1A61"/>
    <w:rsid w:val="001E26D7"/>
    <w:rsid w:val="001E4A8C"/>
    <w:rsid w:val="001E5F24"/>
    <w:rsid w:val="001F6981"/>
    <w:rsid w:val="001F6E4A"/>
    <w:rsid w:val="00200F07"/>
    <w:rsid w:val="0020533E"/>
    <w:rsid w:val="00206811"/>
    <w:rsid w:val="00210ECD"/>
    <w:rsid w:val="00214F56"/>
    <w:rsid w:val="00215D9C"/>
    <w:rsid w:val="0021789D"/>
    <w:rsid w:val="002236B2"/>
    <w:rsid w:val="00223EAC"/>
    <w:rsid w:val="00225EEC"/>
    <w:rsid w:val="002273AB"/>
    <w:rsid w:val="00227954"/>
    <w:rsid w:val="002301E4"/>
    <w:rsid w:val="002308C0"/>
    <w:rsid w:val="002345C4"/>
    <w:rsid w:val="00240381"/>
    <w:rsid w:val="00240CF1"/>
    <w:rsid w:val="0024528E"/>
    <w:rsid w:val="002466CF"/>
    <w:rsid w:val="00247488"/>
    <w:rsid w:val="002533D1"/>
    <w:rsid w:val="00254A88"/>
    <w:rsid w:val="00255349"/>
    <w:rsid w:val="002602D7"/>
    <w:rsid w:val="00264260"/>
    <w:rsid w:val="00264F50"/>
    <w:rsid w:val="00270E81"/>
    <w:rsid w:val="00271319"/>
    <w:rsid w:val="00273F68"/>
    <w:rsid w:val="0027641A"/>
    <w:rsid w:val="002801A2"/>
    <w:rsid w:val="00280FB0"/>
    <w:rsid w:val="00282023"/>
    <w:rsid w:val="00282720"/>
    <w:rsid w:val="002864D5"/>
    <w:rsid w:val="002866A5"/>
    <w:rsid w:val="00286C91"/>
    <w:rsid w:val="0029691D"/>
    <w:rsid w:val="002971D6"/>
    <w:rsid w:val="002A1EBF"/>
    <w:rsid w:val="002B1699"/>
    <w:rsid w:val="002B3BDD"/>
    <w:rsid w:val="002C1224"/>
    <w:rsid w:val="002C6F18"/>
    <w:rsid w:val="002D1A4D"/>
    <w:rsid w:val="002D1A67"/>
    <w:rsid w:val="002D4811"/>
    <w:rsid w:val="002E3A58"/>
    <w:rsid w:val="002E7A27"/>
    <w:rsid w:val="002F3765"/>
    <w:rsid w:val="002F46D6"/>
    <w:rsid w:val="002F6DFD"/>
    <w:rsid w:val="002F732B"/>
    <w:rsid w:val="002F7F8F"/>
    <w:rsid w:val="00300D73"/>
    <w:rsid w:val="00301519"/>
    <w:rsid w:val="0032312B"/>
    <w:rsid w:val="00326B9C"/>
    <w:rsid w:val="0033633E"/>
    <w:rsid w:val="003409A3"/>
    <w:rsid w:val="00341415"/>
    <w:rsid w:val="0034720F"/>
    <w:rsid w:val="00347411"/>
    <w:rsid w:val="003564C2"/>
    <w:rsid w:val="00356724"/>
    <w:rsid w:val="00361FA4"/>
    <w:rsid w:val="00363A03"/>
    <w:rsid w:val="003652C2"/>
    <w:rsid w:val="0036593F"/>
    <w:rsid w:val="00366CBA"/>
    <w:rsid w:val="00367B15"/>
    <w:rsid w:val="0037111D"/>
    <w:rsid w:val="00371F79"/>
    <w:rsid w:val="00372ACE"/>
    <w:rsid w:val="00372DDB"/>
    <w:rsid w:val="003755DE"/>
    <w:rsid w:val="00375751"/>
    <w:rsid w:val="00375EE2"/>
    <w:rsid w:val="003771F7"/>
    <w:rsid w:val="00381B5C"/>
    <w:rsid w:val="0038349D"/>
    <w:rsid w:val="00386782"/>
    <w:rsid w:val="003970AE"/>
    <w:rsid w:val="003A1AC5"/>
    <w:rsid w:val="003A39CA"/>
    <w:rsid w:val="003B1387"/>
    <w:rsid w:val="003B1FCE"/>
    <w:rsid w:val="003B26AE"/>
    <w:rsid w:val="003B33E3"/>
    <w:rsid w:val="003B5385"/>
    <w:rsid w:val="003C0CB7"/>
    <w:rsid w:val="003C0D13"/>
    <w:rsid w:val="003C131C"/>
    <w:rsid w:val="003D0808"/>
    <w:rsid w:val="003D0C49"/>
    <w:rsid w:val="003D23E5"/>
    <w:rsid w:val="003D5774"/>
    <w:rsid w:val="003E02FB"/>
    <w:rsid w:val="003E1D93"/>
    <w:rsid w:val="003E4781"/>
    <w:rsid w:val="003E4CEB"/>
    <w:rsid w:val="003E583B"/>
    <w:rsid w:val="003E78BF"/>
    <w:rsid w:val="003F0A71"/>
    <w:rsid w:val="003F4B4C"/>
    <w:rsid w:val="003F6469"/>
    <w:rsid w:val="00401DD5"/>
    <w:rsid w:val="00416DD1"/>
    <w:rsid w:val="00421099"/>
    <w:rsid w:val="00421A04"/>
    <w:rsid w:val="00422915"/>
    <w:rsid w:val="00424B2E"/>
    <w:rsid w:val="00425521"/>
    <w:rsid w:val="00426B11"/>
    <w:rsid w:val="00430EF8"/>
    <w:rsid w:val="0043249A"/>
    <w:rsid w:val="00434872"/>
    <w:rsid w:val="004370D3"/>
    <w:rsid w:val="00450375"/>
    <w:rsid w:val="00455A4B"/>
    <w:rsid w:val="004565B5"/>
    <w:rsid w:val="0046045C"/>
    <w:rsid w:val="00462726"/>
    <w:rsid w:val="00462C3A"/>
    <w:rsid w:val="0046430A"/>
    <w:rsid w:val="00470F6D"/>
    <w:rsid w:val="00471046"/>
    <w:rsid w:val="0047441B"/>
    <w:rsid w:val="00475182"/>
    <w:rsid w:val="004774DF"/>
    <w:rsid w:val="00480D73"/>
    <w:rsid w:val="00480D75"/>
    <w:rsid w:val="00482856"/>
    <w:rsid w:val="0048507E"/>
    <w:rsid w:val="004863AD"/>
    <w:rsid w:val="00491F5B"/>
    <w:rsid w:val="0049234E"/>
    <w:rsid w:val="00492393"/>
    <w:rsid w:val="00492604"/>
    <w:rsid w:val="00492AB3"/>
    <w:rsid w:val="00494AD4"/>
    <w:rsid w:val="0049579F"/>
    <w:rsid w:val="004964A8"/>
    <w:rsid w:val="00496E5E"/>
    <w:rsid w:val="0049765B"/>
    <w:rsid w:val="004A188C"/>
    <w:rsid w:val="004A24BC"/>
    <w:rsid w:val="004A5186"/>
    <w:rsid w:val="004A6B2A"/>
    <w:rsid w:val="004B04DA"/>
    <w:rsid w:val="004B09C7"/>
    <w:rsid w:val="004B3652"/>
    <w:rsid w:val="004B577E"/>
    <w:rsid w:val="004C053E"/>
    <w:rsid w:val="004C1482"/>
    <w:rsid w:val="004C674F"/>
    <w:rsid w:val="004D0239"/>
    <w:rsid w:val="004D507A"/>
    <w:rsid w:val="004D5E89"/>
    <w:rsid w:val="004D5EE1"/>
    <w:rsid w:val="004D60FF"/>
    <w:rsid w:val="004E17F0"/>
    <w:rsid w:val="004E4074"/>
    <w:rsid w:val="004E4185"/>
    <w:rsid w:val="004E4E63"/>
    <w:rsid w:val="004E5B28"/>
    <w:rsid w:val="004E64B2"/>
    <w:rsid w:val="004E6928"/>
    <w:rsid w:val="004F2EBA"/>
    <w:rsid w:val="004F4A06"/>
    <w:rsid w:val="004F60D5"/>
    <w:rsid w:val="005034B5"/>
    <w:rsid w:val="00511D77"/>
    <w:rsid w:val="00513BBE"/>
    <w:rsid w:val="00516286"/>
    <w:rsid w:val="005164DC"/>
    <w:rsid w:val="00516F28"/>
    <w:rsid w:val="00517CC1"/>
    <w:rsid w:val="00525116"/>
    <w:rsid w:val="005259F3"/>
    <w:rsid w:val="00527751"/>
    <w:rsid w:val="00531676"/>
    <w:rsid w:val="005329BD"/>
    <w:rsid w:val="00534A77"/>
    <w:rsid w:val="005353C1"/>
    <w:rsid w:val="00537C40"/>
    <w:rsid w:val="00540537"/>
    <w:rsid w:val="0054418B"/>
    <w:rsid w:val="00545387"/>
    <w:rsid w:val="00547821"/>
    <w:rsid w:val="00550ED8"/>
    <w:rsid w:val="00552817"/>
    <w:rsid w:val="00557FF9"/>
    <w:rsid w:val="00560EBB"/>
    <w:rsid w:val="00561AB9"/>
    <w:rsid w:val="00561BD4"/>
    <w:rsid w:val="00562553"/>
    <w:rsid w:val="00566121"/>
    <w:rsid w:val="00572097"/>
    <w:rsid w:val="00573477"/>
    <w:rsid w:val="005804D2"/>
    <w:rsid w:val="00580824"/>
    <w:rsid w:val="005836C4"/>
    <w:rsid w:val="005843D2"/>
    <w:rsid w:val="005855EF"/>
    <w:rsid w:val="00585B1F"/>
    <w:rsid w:val="0059033F"/>
    <w:rsid w:val="005916E3"/>
    <w:rsid w:val="00591D8A"/>
    <w:rsid w:val="005923AB"/>
    <w:rsid w:val="005925C7"/>
    <w:rsid w:val="0059356A"/>
    <w:rsid w:val="005949A0"/>
    <w:rsid w:val="00597E28"/>
    <w:rsid w:val="005A1314"/>
    <w:rsid w:val="005A5029"/>
    <w:rsid w:val="005A550D"/>
    <w:rsid w:val="005A592A"/>
    <w:rsid w:val="005A684B"/>
    <w:rsid w:val="005A6E61"/>
    <w:rsid w:val="005A7B7B"/>
    <w:rsid w:val="005B0BEC"/>
    <w:rsid w:val="005B431E"/>
    <w:rsid w:val="005B7E97"/>
    <w:rsid w:val="005C1607"/>
    <w:rsid w:val="005D06B9"/>
    <w:rsid w:val="005D1EDC"/>
    <w:rsid w:val="005D2B1A"/>
    <w:rsid w:val="005D61F1"/>
    <w:rsid w:val="005D734E"/>
    <w:rsid w:val="005E1A29"/>
    <w:rsid w:val="005E224D"/>
    <w:rsid w:val="005E312F"/>
    <w:rsid w:val="005E3C9F"/>
    <w:rsid w:val="005E463A"/>
    <w:rsid w:val="005E622D"/>
    <w:rsid w:val="005E6EDC"/>
    <w:rsid w:val="005F5ABB"/>
    <w:rsid w:val="00602232"/>
    <w:rsid w:val="00603379"/>
    <w:rsid w:val="00604007"/>
    <w:rsid w:val="00610972"/>
    <w:rsid w:val="00612AC4"/>
    <w:rsid w:val="00615E9A"/>
    <w:rsid w:val="00616FFA"/>
    <w:rsid w:val="00617AED"/>
    <w:rsid w:val="00621013"/>
    <w:rsid w:val="0062185F"/>
    <w:rsid w:val="00625677"/>
    <w:rsid w:val="00626005"/>
    <w:rsid w:val="006316F6"/>
    <w:rsid w:val="006366EE"/>
    <w:rsid w:val="00642F0D"/>
    <w:rsid w:val="00644BF1"/>
    <w:rsid w:val="00646686"/>
    <w:rsid w:val="00650E82"/>
    <w:rsid w:val="00651C94"/>
    <w:rsid w:val="00652411"/>
    <w:rsid w:val="00653C3A"/>
    <w:rsid w:val="0065512C"/>
    <w:rsid w:val="0065556E"/>
    <w:rsid w:val="006605BE"/>
    <w:rsid w:val="00662334"/>
    <w:rsid w:val="006641EC"/>
    <w:rsid w:val="006671B2"/>
    <w:rsid w:val="006702D7"/>
    <w:rsid w:val="00670D19"/>
    <w:rsid w:val="00671A49"/>
    <w:rsid w:val="00671F7E"/>
    <w:rsid w:val="0067321D"/>
    <w:rsid w:val="00674BE3"/>
    <w:rsid w:val="0067534C"/>
    <w:rsid w:val="00677354"/>
    <w:rsid w:val="00680212"/>
    <w:rsid w:val="00687CD9"/>
    <w:rsid w:val="0069276D"/>
    <w:rsid w:val="00696B16"/>
    <w:rsid w:val="00696D6B"/>
    <w:rsid w:val="006A0345"/>
    <w:rsid w:val="006A0FCB"/>
    <w:rsid w:val="006A11CE"/>
    <w:rsid w:val="006A2A4B"/>
    <w:rsid w:val="006A69CB"/>
    <w:rsid w:val="006A7CC7"/>
    <w:rsid w:val="006B0935"/>
    <w:rsid w:val="006B0E90"/>
    <w:rsid w:val="006B249C"/>
    <w:rsid w:val="006B3B41"/>
    <w:rsid w:val="006B436C"/>
    <w:rsid w:val="006C05C4"/>
    <w:rsid w:val="006C4968"/>
    <w:rsid w:val="006C4DC7"/>
    <w:rsid w:val="006C5F5B"/>
    <w:rsid w:val="006C7353"/>
    <w:rsid w:val="006C7355"/>
    <w:rsid w:val="006D2B41"/>
    <w:rsid w:val="006D5BE0"/>
    <w:rsid w:val="006E0B70"/>
    <w:rsid w:val="006E2137"/>
    <w:rsid w:val="006E600E"/>
    <w:rsid w:val="006E7515"/>
    <w:rsid w:val="006F3222"/>
    <w:rsid w:val="006F6A5A"/>
    <w:rsid w:val="00701121"/>
    <w:rsid w:val="00703BE6"/>
    <w:rsid w:val="00710D16"/>
    <w:rsid w:val="00711A21"/>
    <w:rsid w:val="007150DC"/>
    <w:rsid w:val="0072007C"/>
    <w:rsid w:val="007210E8"/>
    <w:rsid w:val="00722BF6"/>
    <w:rsid w:val="0072508D"/>
    <w:rsid w:val="00736468"/>
    <w:rsid w:val="00742EF8"/>
    <w:rsid w:val="0074466A"/>
    <w:rsid w:val="0075255D"/>
    <w:rsid w:val="00755EE6"/>
    <w:rsid w:val="00756715"/>
    <w:rsid w:val="00757E8C"/>
    <w:rsid w:val="00763959"/>
    <w:rsid w:val="00763DC5"/>
    <w:rsid w:val="007665BB"/>
    <w:rsid w:val="007827DC"/>
    <w:rsid w:val="00784924"/>
    <w:rsid w:val="007872E9"/>
    <w:rsid w:val="00791FB0"/>
    <w:rsid w:val="00792B6C"/>
    <w:rsid w:val="007942C3"/>
    <w:rsid w:val="007962D9"/>
    <w:rsid w:val="007A0DD0"/>
    <w:rsid w:val="007A1EB5"/>
    <w:rsid w:val="007A3F7B"/>
    <w:rsid w:val="007A63EA"/>
    <w:rsid w:val="007B0FF2"/>
    <w:rsid w:val="007B17A2"/>
    <w:rsid w:val="007B3366"/>
    <w:rsid w:val="007B3651"/>
    <w:rsid w:val="007B44B7"/>
    <w:rsid w:val="007B6AB7"/>
    <w:rsid w:val="007C3F5F"/>
    <w:rsid w:val="007C459F"/>
    <w:rsid w:val="007C6C13"/>
    <w:rsid w:val="007C6D11"/>
    <w:rsid w:val="007D2C5D"/>
    <w:rsid w:val="007D3019"/>
    <w:rsid w:val="007D3E4C"/>
    <w:rsid w:val="007E124C"/>
    <w:rsid w:val="007F1237"/>
    <w:rsid w:val="007F77A2"/>
    <w:rsid w:val="0080445C"/>
    <w:rsid w:val="00806464"/>
    <w:rsid w:val="00810382"/>
    <w:rsid w:val="008206E5"/>
    <w:rsid w:val="00820D51"/>
    <w:rsid w:val="00821218"/>
    <w:rsid w:val="0082160C"/>
    <w:rsid w:val="00823974"/>
    <w:rsid w:val="00825238"/>
    <w:rsid w:val="00825CEC"/>
    <w:rsid w:val="00826738"/>
    <w:rsid w:val="0083092E"/>
    <w:rsid w:val="0083244B"/>
    <w:rsid w:val="008354AA"/>
    <w:rsid w:val="00836333"/>
    <w:rsid w:val="00836E9E"/>
    <w:rsid w:val="0083766D"/>
    <w:rsid w:val="00842658"/>
    <w:rsid w:val="00842CB3"/>
    <w:rsid w:val="008445AF"/>
    <w:rsid w:val="0084718B"/>
    <w:rsid w:val="008511AD"/>
    <w:rsid w:val="00851CC8"/>
    <w:rsid w:val="008522A8"/>
    <w:rsid w:val="0085531F"/>
    <w:rsid w:val="00855669"/>
    <w:rsid w:val="00865BE2"/>
    <w:rsid w:val="00867B91"/>
    <w:rsid w:val="00875A55"/>
    <w:rsid w:val="00876978"/>
    <w:rsid w:val="00877DE3"/>
    <w:rsid w:val="008802EF"/>
    <w:rsid w:val="0088418F"/>
    <w:rsid w:val="00884C79"/>
    <w:rsid w:val="008851EE"/>
    <w:rsid w:val="008869DF"/>
    <w:rsid w:val="0089087B"/>
    <w:rsid w:val="00893112"/>
    <w:rsid w:val="008A04AD"/>
    <w:rsid w:val="008A0EBE"/>
    <w:rsid w:val="008A1E8A"/>
    <w:rsid w:val="008B1726"/>
    <w:rsid w:val="008B1A82"/>
    <w:rsid w:val="008C31B3"/>
    <w:rsid w:val="008C5C7B"/>
    <w:rsid w:val="008C7008"/>
    <w:rsid w:val="008D0B26"/>
    <w:rsid w:val="008D1D31"/>
    <w:rsid w:val="008D2964"/>
    <w:rsid w:val="008D536F"/>
    <w:rsid w:val="008D7FED"/>
    <w:rsid w:val="008E0755"/>
    <w:rsid w:val="008E1A99"/>
    <w:rsid w:val="008E24C0"/>
    <w:rsid w:val="008F0A53"/>
    <w:rsid w:val="008F601C"/>
    <w:rsid w:val="009004DB"/>
    <w:rsid w:val="009031CB"/>
    <w:rsid w:val="0090480F"/>
    <w:rsid w:val="0090587B"/>
    <w:rsid w:val="00910C43"/>
    <w:rsid w:val="00911F3D"/>
    <w:rsid w:val="00914C1D"/>
    <w:rsid w:val="009158CE"/>
    <w:rsid w:val="00921317"/>
    <w:rsid w:val="00923862"/>
    <w:rsid w:val="00926C7E"/>
    <w:rsid w:val="009322A6"/>
    <w:rsid w:val="00935AE9"/>
    <w:rsid w:val="00944AAB"/>
    <w:rsid w:val="00954975"/>
    <w:rsid w:val="0096057D"/>
    <w:rsid w:val="00962B8B"/>
    <w:rsid w:val="00963CB4"/>
    <w:rsid w:val="009707A3"/>
    <w:rsid w:val="00970D8E"/>
    <w:rsid w:val="009710A2"/>
    <w:rsid w:val="00973B63"/>
    <w:rsid w:val="00974C5C"/>
    <w:rsid w:val="00983F89"/>
    <w:rsid w:val="00987C7B"/>
    <w:rsid w:val="00997751"/>
    <w:rsid w:val="009B3CF5"/>
    <w:rsid w:val="009B457D"/>
    <w:rsid w:val="009C45D8"/>
    <w:rsid w:val="009C58DC"/>
    <w:rsid w:val="009C724A"/>
    <w:rsid w:val="009D28B9"/>
    <w:rsid w:val="009D4874"/>
    <w:rsid w:val="009D5D2A"/>
    <w:rsid w:val="009E0555"/>
    <w:rsid w:val="009E25E7"/>
    <w:rsid w:val="009E2B4E"/>
    <w:rsid w:val="009E51B3"/>
    <w:rsid w:val="009E58B3"/>
    <w:rsid w:val="009E686F"/>
    <w:rsid w:val="009E7388"/>
    <w:rsid w:val="009E7847"/>
    <w:rsid w:val="009F160B"/>
    <w:rsid w:val="009F24BE"/>
    <w:rsid w:val="009F2BC3"/>
    <w:rsid w:val="009F3441"/>
    <w:rsid w:val="009F4B09"/>
    <w:rsid w:val="009F62B6"/>
    <w:rsid w:val="00A020CC"/>
    <w:rsid w:val="00A02407"/>
    <w:rsid w:val="00A04DC6"/>
    <w:rsid w:val="00A06300"/>
    <w:rsid w:val="00A078B7"/>
    <w:rsid w:val="00A1365B"/>
    <w:rsid w:val="00A175F5"/>
    <w:rsid w:val="00A17FA4"/>
    <w:rsid w:val="00A2117D"/>
    <w:rsid w:val="00A252B3"/>
    <w:rsid w:val="00A30B1D"/>
    <w:rsid w:val="00A31346"/>
    <w:rsid w:val="00A31440"/>
    <w:rsid w:val="00A32B34"/>
    <w:rsid w:val="00A33C5A"/>
    <w:rsid w:val="00A33C94"/>
    <w:rsid w:val="00A34C49"/>
    <w:rsid w:val="00A35435"/>
    <w:rsid w:val="00A35FF4"/>
    <w:rsid w:val="00A43FCC"/>
    <w:rsid w:val="00A455C9"/>
    <w:rsid w:val="00A467C9"/>
    <w:rsid w:val="00A472F1"/>
    <w:rsid w:val="00A52D44"/>
    <w:rsid w:val="00A55D04"/>
    <w:rsid w:val="00A61748"/>
    <w:rsid w:val="00A67AF5"/>
    <w:rsid w:val="00A736E5"/>
    <w:rsid w:val="00A73AFE"/>
    <w:rsid w:val="00A806D0"/>
    <w:rsid w:val="00A834FF"/>
    <w:rsid w:val="00A84D73"/>
    <w:rsid w:val="00A8662E"/>
    <w:rsid w:val="00A86ADF"/>
    <w:rsid w:val="00A878F6"/>
    <w:rsid w:val="00AA01A0"/>
    <w:rsid w:val="00AA25F1"/>
    <w:rsid w:val="00AA4C9F"/>
    <w:rsid w:val="00AA787F"/>
    <w:rsid w:val="00AB0BB7"/>
    <w:rsid w:val="00AB533E"/>
    <w:rsid w:val="00AB7294"/>
    <w:rsid w:val="00AC0CE4"/>
    <w:rsid w:val="00AC3774"/>
    <w:rsid w:val="00AC5C2E"/>
    <w:rsid w:val="00AC73F1"/>
    <w:rsid w:val="00AD1229"/>
    <w:rsid w:val="00AD16D3"/>
    <w:rsid w:val="00AD50B6"/>
    <w:rsid w:val="00AD5DAB"/>
    <w:rsid w:val="00AE2FAE"/>
    <w:rsid w:val="00AE33A0"/>
    <w:rsid w:val="00AE6461"/>
    <w:rsid w:val="00AE7702"/>
    <w:rsid w:val="00AF0116"/>
    <w:rsid w:val="00AF131A"/>
    <w:rsid w:val="00AF1470"/>
    <w:rsid w:val="00AF1DA0"/>
    <w:rsid w:val="00AF23D7"/>
    <w:rsid w:val="00AF2E34"/>
    <w:rsid w:val="00AF69AB"/>
    <w:rsid w:val="00B02AC1"/>
    <w:rsid w:val="00B06401"/>
    <w:rsid w:val="00B122E2"/>
    <w:rsid w:val="00B12DFC"/>
    <w:rsid w:val="00B16392"/>
    <w:rsid w:val="00B30102"/>
    <w:rsid w:val="00B327F5"/>
    <w:rsid w:val="00B32FA0"/>
    <w:rsid w:val="00B3389A"/>
    <w:rsid w:val="00B413DF"/>
    <w:rsid w:val="00B42150"/>
    <w:rsid w:val="00B446D8"/>
    <w:rsid w:val="00B44B8C"/>
    <w:rsid w:val="00B47CB9"/>
    <w:rsid w:val="00B54AEA"/>
    <w:rsid w:val="00B568C6"/>
    <w:rsid w:val="00B60B0C"/>
    <w:rsid w:val="00B61629"/>
    <w:rsid w:val="00B61A6C"/>
    <w:rsid w:val="00B62862"/>
    <w:rsid w:val="00B63E66"/>
    <w:rsid w:val="00B67C4C"/>
    <w:rsid w:val="00B71BED"/>
    <w:rsid w:val="00B81CCB"/>
    <w:rsid w:val="00B85071"/>
    <w:rsid w:val="00B868A5"/>
    <w:rsid w:val="00B905BF"/>
    <w:rsid w:val="00B917CB"/>
    <w:rsid w:val="00B953EE"/>
    <w:rsid w:val="00BA455B"/>
    <w:rsid w:val="00BA7AF9"/>
    <w:rsid w:val="00BB059A"/>
    <w:rsid w:val="00BB1108"/>
    <w:rsid w:val="00BB30F1"/>
    <w:rsid w:val="00BC16E3"/>
    <w:rsid w:val="00BC1829"/>
    <w:rsid w:val="00BC2A1D"/>
    <w:rsid w:val="00BC6476"/>
    <w:rsid w:val="00BD0EDC"/>
    <w:rsid w:val="00BD319A"/>
    <w:rsid w:val="00BD65F1"/>
    <w:rsid w:val="00BE0073"/>
    <w:rsid w:val="00BE40E4"/>
    <w:rsid w:val="00BF207C"/>
    <w:rsid w:val="00BF488A"/>
    <w:rsid w:val="00BF4A55"/>
    <w:rsid w:val="00BF54E1"/>
    <w:rsid w:val="00C007AB"/>
    <w:rsid w:val="00C048ED"/>
    <w:rsid w:val="00C0646B"/>
    <w:rsid w:val="00C0730C"/>
    <w:rsid w:val="00C12C3C"/>
    <w:rsid w:val="00C1567B"/>
    <w:rsid w:val="00C16A22"/>
    <w:rsid w:val="00C16B30"/>
    <w:rsid w:val="00C22A6D"/>
    <w:rsid w:val="00C232FA"/>
    <w:rsid w:val="00C24BC6"/>
    <w:rsid w:val="00C2551C"/>
    <w:rsid w:val="00C25DB0"/>
    <w:rsid w:val="00C33402"/>
    <w:rsid w:val="00C356F7"/>
    <w:rsid w:val="00C358CC"/>
    <w:rsid w:val="00C40ADE"/>
    <w:rsid w:val="00C40E5C"/>
    <w:rsid w:val="00C41B49"/>
    <w:rsid w:val="00C41F7B"/>
    <w:rsid w:val="00C501E2"/>
    <w:rsid w:val="00C51332"/>
    <w:rsid w:val="00C62588"/>
    <w:rsid w:val="00C62BA9"/>
    <w:rsid w:val="00C64649"/>
    <w:rsid w:val="00C7241B"/>
    <w:rsid w:val="00C746F0"/>
    <w:rsid w:val="00C75630"/>
    <w:rsid w:val="00C765F2"/>
    <w:rsid w:val="00C76B8F"/>
    <w:rsid w:val="00C82526"/>
    <w:rsid w:val="00C853D6"/>
    <w:rsid w:val="00C86389"/>
    <w:rsid w:val="00C96413"/>
    <w:rsid w:val="00CA0612"/>
    <w:rsid w:val="00CA20EC"/>
    <w:rsid w:val="00CA5C9F"/>
    <w:rsid w:val="00CA6263"/>
    <w:rsid w:val="00CA709D"/>
    <w:rsid w:val="00CA7819"/>
    <w:rsid w:val="00CA7C16"/>
    <w:rsid w:val="00CB3DBE"/>
    <w:rsid w:val="00CC025D"/>
    <w:rsid w:val="00CC39C5"/>
    <w:rsid w:val="00CC62D8"/>
    <w:rsid w:val="00CC7E02"/>
    <w:rsid w:val="00CD04DF"/>
    <w:rsid w:val="00CD15EE"/>
    <w:rsid w:val="00CD38DA"/>
    <w:rsid w:val="00CD5624"/>
    <w:rsid w:val="00CD591C"/>
    <w:rsid w:val="00CD5FBE"/>
    <w:rsid w:val="00CD6FDB"/>
    <w:rsid w:val="00CE0612"/>
    <w:rsid w:val="00CE1AAA"/>
    <w:rsid w:val="00CE72AE"/>
    <w:rsid w:val="00CE7AE0"/>
    <w:rsid w:val="00CF12A4"/>
    <w:rsid w:val="00CF296C"/>
    <w:rsid w:val="00CF5523"/>
    <w:rsid w:val="00D02347"/>
    <w:rsid w:val="00D050BA"/>
    <w:rsid w:val="00D070B4"/>
    <w:rsid w:val="00D10A60"/>
    <w:rsid w:val="00D10B83"/>
    <w:rsid w:val="00D13F08"/>
    <w:rsid w:val="00D14F00"/>
    <w:rsid w:val="00D165CA"/>
    <w:rsid w:val="00D20F0C"/>
    <w:rsid w:val="00D230BD"/>
    <w:rsid w:val="00D30746"/>
    <w:rsid w:val="00D32C4D"/>
    <w:rsid w:val="00D336BE"/>
    <w:rsid w:val="00D36945"/>
    <w:rsid w:val="00D449AC"/>
    <w:rsid w:val="00D47C20"/>
    <w:rsid w:val="00D47F17"/>
    <w:rsid w:val="00D52475"/>
    <w:rsid w:val="00D54379"/>
    <w:rsid w:val="00D54859"/>
    <w:rsid w:val="00D56DC5"/>
    <w:rsid w:val="00D5720E"/>
    <w:rsid w:val="00D5754D"/>
    <w:rsid w:val="00D577F8"/>
    <w:rsid w:val="00D63F34"/>
    <w:rsid w:val="00D64EBC"/>
    <w:rsid w:val="00D659F5"/>
    <w:rsid w:val="00D65C31"/>
    <w:rsid w:val="00D67274"/>
    <w:rsid w:val="00D705A3"/>
    <w:rsid w:val="00D71475"/>
    <w:rsid w:val="00D719FC"/>
    <w:rsid w:val="00D73A0A"/>
    <w:rsid w:val="00D77EE4"/>
    <w:rsid w:val="00D817B9"/>
    <w:rsid w:val="00D835CF"/>
    <w:rsid w:val="00D8490C"/>
    <w:rsid w:val="00D86F9A"/>
    <w:rsid w:val="00D8702B"/>
    <w:rsid w:val="00D87269"/>
    <w:rsid w:val="00D8735D"/>
    <w:rsid w:val="00DA1665"/>
    <w:rsid w:val="00DA3859"/>
    <w:rsid w:val="00DA577C"/>
    <w:rsid w:val="00DB0EBE"/>
    <w:rsid w:val="00DB3539"/>
    <w:rsid w:val="00DB49C4"/>
    <w:rsid w:val="00DC2C17"/>
    <w:rsid w:val="00DC4B87"/>
    <w:rsid w:val="00DC72C6"/>
    <w:rsid w:val="00DC74A3"/>
    <w:rsid w:val="00DD033D"/>
    <w:rsid w:val="00DD14B8"/>
    <w:rsid w:val="00DD59B6"/>
    <w:rsid w:val="00DE0736"/>
    <w:rsid w:val="00DE08AE"/>
    <w:rsid w:val="00DE4B64"/>
    <w:rsid w:val="00DE52C6"/>
    <w:rsid w:val="00DE6026"/>
    <w:rsid w:val="00DE6BEF"/>
    <w:rsid w:val="00DE756B"/>
    <w:rsid w:val="00DF0889"/>
    <w:rsid w:val="00DF0CBB"/>
    <w:rsid w:val="00DF20A8"/>
    <w:rsid w:val="00DF7FBD"/>
    <w:rsid w:val="00E00639"/>
    <w:rsid w:val="00E0123F"/>
    <w:rsid w:val="00E04819"/>
    <w:rsid w:val="00E04B5C"/>
    <w:rsid w:val="00E14904"/>
    <w:rsid w:val="00E149B1"/>
    <w:rsid w:val="00E20E03"/>
    <w:rsid w:val="00E2290A"/>
    <w:rsid w:val="00E2319C"/>
    <w:rsid w:val="00E242E3"/>
    <w:rsid w:val="00E30A61"/>
    <w:rsid w:val="00E31F20"/>
    <w:rsid w:val="00E32715"/>
    <w:rsid w:val="00E3545F"/>
    <w:rsid w:val="00E37D47"/>
    <w:rsid w:val="00E40886"/>
    <w:rsid w:val="00E4468E"/>
    <w:rsid w:val="00E550BD"/>
    <w:rsid w:val="00E55295"/>
    <w:rsid w:val="00E57275"/>
    <w:rsid w:val="00E5775E"/>
    <w:rsid w:val="00E6796B"/>
    <w:rsid w:val="00E708E2"/>
    <w:rsid w:val="00E71F58"/>
    <w:rsid w:val="00E740F7"/>
    <w:rsid w:val="00E75E85"/>
    <w:rsid w:val="00E76066"/>
    <w:rsid w:val="00E922F3"/>
    <w:rsid w:val="00E94B07"/>
    <w:rsid w:val="00E96BAB"/>
    <w:rsid w:val="00E97BC2"/>
    <w:rsid w:val="00EA22E5"/>
    <w:rsid w:val="00EA44C4"/>
    <w:rsid w:val="00EA5F87"/>
    <w:rsid w:val="00EA7F70"/>
    <w:rsid w:val="00EB43EF"/>
    <w:rsid w:val="00EB4FE5"/>
    <w:rsid w:val="00EB6731"/>
    <w:rsid w:val="00EB6F04"/>
    <w:rsid w:val="00EB78AE"/>
    <w:rsid w:val="00EC5F4E"/>
    <w:rsid w:val="00ED0F6D"/>
    <w:rsid w:val="00ED21BB"/>
    <w:rsid w:val="00ED58FA"/>
    <w:rsid w:val="00ED75BF"/>
    <w:rsid w:val="00EE00EA"/>
    <w:rsid w:val="00EE2471"/>
    <w:rsid w:val="00EE5CCB"/>
    <w:rsid w:val="00EE6CC8"/>
    <w:rsid w:val="00EF05D5"/>
    <w:rsid w:val="00EF3DF8"/>
    <w:rsid w:val="00EF3F75"/>
    <w:rsid w:val="00EF55FF"/>
    <w:rsid w:val="00EF5EEC"/>
    <w:rsid w:val="00F03970"/>
    <w:rsid w:val="00F13154"/>
    <w:rsid w:val="00F15A1C"/>
    <w:rsid w:val="00F16468"/>
    <w:rsid w:val="00F17BBB"/>
    <w:rsid w:val="00F229C0"/>
    <w:rsid w:val="00F24C96"/>
    <w:rsid w:val="00F263AE"/>
    <w:rsid w:val="00F26E12"/>
    <w:rsid w:val="00F31620"/>
    <w:rsid w:val="00F319E1"/>
    <w:rsid w:val="00F3232C"/>
    <w:rsid w:val="00F33373"/>
    <w:rsid w:val="00F3417D"/>
    <w:rsid w:val="00F37A18"/>
    <w:rsid w:val="00F37B1C"/>
    <w:rsid w:val="00F40DA5"/>
    <w:rsid w:val="00F42F5A"/>
    <w:rsid w:val="00F47572"/>
    <w:rsid w:val="00F5099E"/>
    <w:rsid w:val="00F55006"/>
    <w:rsid w:val="00F618E6"/>
    <w:rsid w:val="00F65C52"/>
    <w:rsid w:val="00F7092D"/>
    <w:rsid w:val="00F72279"/>
    <w:rsid w:val="00F73A7A"/>
    <w:rsid w:val="00F75110"/>
    <w:rsid w:val="00F75B46"/>
    <w:rsid w:val="00F761BC"/>
    <w:rsid w:val="00F83180"/>
    <w:rsid w:val="00F84443"/>
    <w:rsid w:val="00F84F1F"/>
    <w:rsid w:val="00F85344"/>
    <w:rsid w:val="00F91671"/>
    <w:rsid w:val="00F933CC"/>
    <w:rsid w:val="00F94F44"/>
    <w:rsid w:val="00FA6B40"/>
    <w:rsid w:val="00FB2416"/>
    <w:rsid w:val="00FB48BE"/>
    <w:rsid w:val="00FB7C4F"/>
    <w:rsid w:val="00FC142B"/>
    <w:rsid w:val="00FC2E5D"/>
    <w:rsid w:val="00FC3C8C"/>
    <w:rsid w:val="00FC4A9B"/>
    <w:rsid w:val="00FC67B2"/>
    <w:rsid w:val="00FC6A85"/>
    <w:rsid w:val="00FD07FF"/>
    <w:rsid w:val="00FD65F9"/>
    <w:rsid w:val="00FE05A9"/>
    <w:rsid w:val="00FE1942"/>
    <w:rsid w:val="00FE1985"/>
    <w:rsid w:val="00FE1FB1"/>
    <w:rsid w:val="00FE38CB"/>
    <w:rsid w:val="00FE5F9D"/>
    <w:rsid w:val="00FE7150"/>
    <w:rsid w:val="00FF40A0"/>
    <w:rsid w:val="00FF6F23"/>
    <w:rsid w:val="00FF7F92"/>
    <w:rsid w:val="014435C0"/>
    <w:rsid w:val="01536D2A"/>
    <w:rsid w:val="017A6BFB"/>
    <w:rsid w:val="01864F40"/>
    <w:rsid w:val="01927FD2"/>
    <w:rsid w:val="01FD5797"/>
    <w:rsid w:val="02764B31"/>
    <w:rsid w:val="029A470E"/>
    <w:rsid w:val="02B1502F"/>
    <w:rsid w:val="02B40E52"/>
    <w:rsid w:val="032C4678"/>
    <w:rsid w:val="03BB1D6C"/>
    <w:rsid w:val="03BE360A"/>
    <w:rsid w:val="03D056C7"/>
    <w:rsid w:val="03EA2651"/>
    <w:rsid w:val="040757C4"/>
    <w:rsid w:val="04382BD4"/>
    <w:rsid w:val="04647AEA"/>
    <w:rsid w:val="046C48D8"/>
    <w:rsid w:val="047F2D99"/>
    <w:rsid w:val="048A01A6"/>
    <w:rsid w:val="049133E0"/>
    <w:rsid w:val="04AE367F"/>
    <w:rsid w:val="04D550AF"/>
    <w:rsid w:val="05107E95"/>
    <w:rsid w:val="05204079"/>
    <w:rsid w:val="056735C4"/>
    <w:rsid w:val="056A072C"/>
    <w:rsid w:val="05946929"/>
    <w:rsid w:val="0596483F"/>
    <w:rsid w:val="05995FBA"/>
    <w:rsid w:val="062C0EAC"/>
    <w:rsid w:val="064C75F3"/>
    <w:rsid w:val="064F0ED5"/>
    <w:rsid w:val="06655EF0"/>
    <w:rsid w:val="067B57E2"/>
    <w:rsid w:val="06826B71"/>
    <w:rsid w:val="069C665E"/>
    <w:rsid w:val="06BF7DC5"/>
    <w:rsid w:val="06DB08CB"/>
    <w:rsid w:val="06DD024B"/>
    <w:rsid w:val="06F504AD"/>
    <w:rsid w:val="0701218C"/>
    <w:rsid w:val="07173FCA"/>
    <w:rsid w:val="073310F6"/>
    <w:rsid w:val="074542DF"/>
    <w:rsid w:val="075C714F"/>
    <w:rsid w:val="07603356"/>
    <w:rsid w:val="07AB0C1A"/>
    <w:rsid w:val="07CC6178"/>
    <w:rsid w:val="07D1564B"/>
    <w:rsid w:val="07DD35DE"/>
    <w:rsid w:val="08116381"/>
    <w:rsid w:val="082C6D09"/>
    <w:rsid w:val="08345F36"/>
    <w:rsid w:val="083D4F23"/>
    <w:rsid w:val="08923091"/>
    <w:rsid w:val="08CB0CA3"/>
    <w:rsid w:val="08E04AE9"/>
    <w:rsid w:val="08FC4ABA"/>
    <w:rsid w:val="092C51BE"/>
    <w:rsid w:val="09340E52"/>
    <w:rsid w:val="093D70BC"/>
    <w:rsid w:val="094D2062"/>
    <w:rsid w:val="097046A9"/>
    <w:rsid w:val="097A7FD3"/>
    <w:rsid w:val="0988416A"/>
    <w:rsid w:val="09A339CE"/>
    <w:rsid w:val="09A82D92"/>
    <w:rsid w:val="09BD63C9"/>
    <w:rsid w:val="09CF47C3"/>
    <w:rsid w:val="09D26061"/>
    <w:rsid w:val="09E85885"/>
    <w:rsid w:val="0A0967DF"/>
    <w:rsid w:val="0A314B36"/>
    <w:rsid w:val="0A794981"/>
    <w:rsid w:val="0A8A2498"/>
    <w:rsid w:val="0AC00976"/>
    <w:rsid w:val="0AE16778"/>
    <w:rsid w:val="0AEC34FC"/>
    <w:rsid w:val="0AFA2EAC"/>
    <w:rsid w:val="0B183F48"/>
    <w:rsid w:val="0B52183D"/>
    <w:rsid w:val="0BB377CC"/>
    <w:rsid w:val="0BBF6BB9"/>
    <w:rsid w:val="0BE702FE"/>
    <w:rsid w:val="0BF86D50"/>
    <w:rsid w:val="0CA47203"/>
    <w:rsid w:val="0CD321C3"/>
    <w:rsid w:val="0CF64FD9"/>
    <w:rsid w:val="0CF965C1"/>
    <w:rsid w:val="0D7609C7"/>
    <w:rsid w:val="0D9E06AA"/>
    <w:rsid w:val="0DA169B2"/>
    <w:rsid w:val="0DBC505E"/>
    <w:rsid w:val="0DE16873"/>
    <w:rsid w:val="0DE67152"/>
    <w:rsid w:val="0E0F1632"/>
    <w:rsid w:val="0E4D0852"/>
    <w:rsid w:val="0E5968B5"/>
    <w:rsid w:val="0E5D1CBF"/>
    <w:rsid w:val="0E6574A4"/>
    <w:rsid w:val="0E7476E7"/>
    <w:rsid w:val="0E81372E"/>
    <w:rsid w:val="0ECB7199"/>
    <w:rsid w:val="0EF31CCD"/>
    <w:rsid w:val="0F20786F"/>
    <w:rsid w:val="0F797A54"/>
    <w:rsid w:val="0F917E6C"/>
    <w:rsid w:val="0FA67D3C"/>
    <w:rsid w:val="0FBA47F8"/>
    <w:rsid w:val="0FD2692E"/>
    <w:rsid w:val="0FE8038D"/>
    <w:rsid w:val="0FF93741"/>
    <w:rsid w:val="10182972"/>
    <w:rsid w:val="102922DA"/>
    <w:rsid w:val="10297502"/>
    <w:rsid w:val="10387043"/>
    <w:rsid w:val="104312F7"/>
    <w:rsid w:val="106A1C73"/>
    <w:rsid w:val="10836C5C"/>
    <w:rsid w:val="10AD52C9"/>
    <w:rsid w:val="10D83B3D"/>
    <w:rsid w:val="110E2309"/>
    <w:rsid w:val="110E5BD1"/>
    <w:rsid w:val="111D5E14"/>
    <w:rsid w:val="112469BC"/>
    <w:rsid w:val="112A0531"/>
    <w:rsid w:val="11340192"/>
    <w:rsid w:val="113A1798"/>
    <w:rsid w:val="113A1D92"/>
    <w:rsid w:val="115E29DB"/>
    <w:rsid w:val="119A3908"/>
    <w:rsid w:val="11CF479B"/>
    <w:rsid w:val="11F33019"/>
    <w:rsid w:val="12152639"/>
    <w:rsid w:val="121865DB"/>
    <w:rsid w:val="126B3663"/>
    <w:rsid w:val="127E6D86"/>
    <w:rsid w:val="128771E6"/>
    <w:rsid w:val="128B4DFC"/>
    <w:rsid w:val="12B56539"/>
    <w:rsid w:val="12CB3563"/>
    <w:rsid w:val="13105B2F"/>
    <w:rsid w:val="131357AE"/>
    <w:rsid w:val="132B624C"/>
    <w:rsid w:val="13623FB2"/>
    <w:rsid w:val="136523E1"/>
    <w:rsid w:val="136A10B9"/>
    <w:rsid w:val="136C070A"/>
    <w:rsid w:val="1376180B"/>
    <w:rsid w:val="13855236"/>
    <w:rsid w:val="138B6D97"/>
    <w:rsid w:val="139A5E89"/>
    <w:rsid w:val="13A27F87"/>
    <w:rsid w:val="13A520F1"/>
    <w:rsid w:val="13BC02CA"/>
    <w:rsid w:val="13D84609"/>
    <w:rsid w:val="13E40EE8"/>
    <w:rsid w:val="141F00F5"/>
    <w:rsid w:val="141F2066"/>
    <w:rsid w:val="14217BBB"/>
    <w:rsid w:val="143A0A8B"/>
    <w:rsid w:val="143D1736"/>
    <w:rsid w:val="143E4A1F"/>
    <w:rsid w:val="14403689"/>
    <w:rsid w:val="149363ED"/>
    <w:rsid w:val="14A423A8"/>
    <w:rsid w:val="14B52402"/>
    <w:rsid w:val="14B545B5"/>
    <w:rsid w:val="14E458AB"/>
    <w:rsid w:val="14EC0E8D"/>
    <w:rsid w:val="14F45E8E"/>
    <w:rsid w:val="156915E8"/>
    <w:rsid w:val="15754F8F"/>
    <w:rsid w:val="1587410F"/>
    <w:rsid w:val="15A9734D"/>
    <w:rsid w:val="15B92D51"/>
    <w:rsid w:val="15BD53C2"/>
    <w:rsid w:val="15E07A6A"/>
    <w:rsid w:val="164F028E"/>
    <w:rsid w:val="1653724C"/>
    <w:rsid w:val="165C0F09"/>
    <w:rsid w:val="166E2C6E"/>
    <w:rsid w:val="16937B23"/>
    <w:rsid w:val="16946B78"/>
    <w:rsid w:val="17203438"/>
    <w:rsid w:val="17471E3D"/>
    <w:rsid w:val="175B0A83"/>
    <w:rsid w:val="17781D5A"/>
    <w:rsid w:val="177922F0"/>
    <w:rsid w:val="17936E30"/>
    <w:rsid w:val="179463D1"/>
    <w:rsid w:val="17AC62E1"/>
    <w:rsid w:val="17B172B6"/>
    <w:rsid w:val="17BC0652"/>
    <w:rsid w:val="17CC18DC"/>
    <w:rsid w:val="17DB50D8"/>
    <w:rsid w:val="183415C3"/>
    <w:rsid w:val="1844012A"/>
    <w:rsid w:val="18493900"/>
    <w:rsid w:val="185365BF"/>
    <w:rsid w:val="18780818"/>
    <w:rsid w:val="189D2CD5"/>
    <w:rsid w:val="18B04D03"/>
    <w:rsid w:val="18E00334"/>
    <w:rsid w:val="192B5845"/>
    <w:rsid w:val="193E0279"/>
    <w:rsid w:val="195A686C"/>
    <w:rsid w:val="199B021E"/>
    <w:rsid w:val="19A04DE2"/>
    <w:rsid w:val="19B412DF"/>
    <w:rsid w:val="19C822BE"/>
    <w:rsid w:val="19E27EA0"/>
    <w:rsid w:val="1A1954B8"/>
    <w:rsid w:val="1A231FC1"/>
    <w:rsid w:val="1A522FEA"/>
    <w:rsid w:val="1A5F4A06"/>
    <w:rsid w:val="1A671ED8"/>
    <w:rsid w:val="1A8D5EED"/>
    <w:rsid w:val="1AA50C28"/>
    <w:rsid w:val="1AAA510A"/>
    <w:rsid w:val="1AAA624B"/>
    <w:rsid w:val="1ABD41C4"/>
    <w:rsid w:val="1ABE485D"/>
    <w:rsid w:val="1ADD6614"/>
    <w:rsid w:val="1B0E67CD"/>
    <w:rsid w:val="1B495A57"/>
    <w:rsid w:val="1B4F692B"/>
    <w:rsid w:val="1B944F25"/>
    <w:rsid w:val="1B99253B"/>
    <w:rsid w:val="1BBC088D"/>
    <w:rsid w:val="1C32271C"/>
    <w:rsid w:val="1C567CDE"/>
    <w:rsid w:val="1C6E1C1A"/>
    <w:rsid w:val="1C994E11"/>
    <w:rsid w:val="1CCB1BEA"/>
    <w:rsid w:val="1CE3744D"/>
    <w:rsid w:val="1D1B4B41"/>
    <w:rsid w:val="1D571E40"/>
    <w:rsid w:val="1D6859B3"/>
    <w:rsid w:val="1D855B3B"/>
    <w:rsid w:val="1D8B1ECB"/>
    <w:rsid w:val="1DDF4451"/>
    <w:rsid w:val="1DE63333"/>
    <w:rsid w:val="1E0259A8"/>
    <w:rsid w:val="1E1B3831"/>
    <w:rsid w:val="1E2D15D1"/>
    <w:rsid w:val="1E454BFC"/>
    <w:rsid w:val="1E676D64"/>
    <w:rsid w:val="1E793DD7"/>
    <w:rsid w:val="1E797BD7"/>
    <w:rsid w:val="1E945F22"/>
    <w:rsid w:val="1EA71A5E"/>
    <w:rsid w:val="1EBA2EF4"/>
    <w:rsid w:val="1EFC413F"/>
    <w:rsid w:val="1EFF2FFD"/>
    <w:rsid w:val="1F0B4718"/>
    <w:rsid w:val="1F1702FA"/>
    <w:rsid w:val="1F3C7DAD"/>
    <w:rsid w:val="1F937F99"/>
    <w:rsid w:val="1FAB1312"/>
    <w:rsid w:val="1FDE70B6"/>
    <w:rsid w:val="1FE54448"/>
    <w:rsid w:val="1FF01084"/>
    <w:rsid w:val="20796DDF"/>
    <w:rsid w:val="20B133AE"/>
    <w:rsid w:val="20B56069"/>
    <w:rsid w:val="210E7F88"/>
    <w:rsid w:val="21222FD3"/>
    <w:rsid w:val="213608D5"/>
    <w:rsid w:val="215A451A"/>
    <w:rsid w:val="21694516"/>
    <w:rsid w:val="21713385"/>
    <w:rsid w:val="21B34AF5"/>
    <w:rsid w:val="21C640F3"/>
    <w:rsid w:val="21CF3ED6"/>
    <w:rsid w:val="21EC3B40"/>
    <w:rsid w:val="21FE759C"/>
    <w:rsid w:val="22332BD6"/>
    <w:rsid w:val="22423708"/>
    <w:rsid w:val="22535AF3"/>
    <w:rsid w:val="227F44DD"/>
    <w:rsid w:val="22A719E1"/>
    <w:rsid w:val="22A80539"/>
    <w:rsid w:val="22B55875"/>
    <w:rsid w:val="22D402FC"/>
    <w:rsid w:val="22E51570"/>
    <w:rsid w:val="237044C9"/>
    <w:rsid w:val="23C24E74"/>
    <w:rsid w:val="24220F66"/>
    <w:rsid w:val="245E263B"/>
    <w:rsid w:val="2538304D"/>
    <w:rsid w:val="254461F5"/>
    <w:rsid w:val="254672A4"/>
    <w:rsid w:val="255676EF"/>
    <w:rsid w:val="258E6346"/>
    <w:rsid w:val="262C4EBA"/>
    <w:rsid w:val="263739D8"/>
    <w:rsid w:val="26744231"/>
    <w:rsid w:val="2685337C"/>
    <w:rsid w:val="26B635BE"/>
    <w:rsid w:val="26DF7E02"/>
    <w:rsid w:val="271E621D"/>
    <w:rsid w:val="277614D5"/>
    <w:rsid w:val="27900662"/>
    <w:rsid w:val="27944CA5"/>
    <w:rsid w:val="27A42142"/>
    <w:rsid w:val="27D8088F"/>
    <w:rsid w:val="287574C2"/>
    <w:rsid w:val="28807F5C"/>
    <w:rsid w:val="288E0F4E"/>
    <w:rsid w:val="28986132"/>
    <w:rsid w:val="28CF50AC"/>
    <w:rsid w:val="28D25F2A"/>
    <w:rsid w:val="28D370A6"/>
    <w:rsid w:val="28F96D0F"/>
    <w:rsid w:val="290165BA"/>
    <w:rsid w:val="290F3A61"/>
    <w:rsid w:val="29132B4A"/>
    <w:rsid w:val="29211DC2"/>
    <w:rsid w:val="295F6920"/>
    <w:rsid w:val="29676163"/>
    <w:rsid w:val="29873BEA"/>
    <w:rsid w:val="298BF6D2"/>
    <w:rsid w:val="29D64FF0"/>
    <w:rsid w:val="29FE3744"/>
    <w:rsid w:val="2A0A42E6"/>
    <w:rsid w:val="2AA309F0"/>
    <w:rsid w:val="2AAA08A7"/>
    <w:rsid w:val="2B0F4AB1"/>
    <w:rsid w:val="2B2F4C6A"/>
    <w:rsid w:val="2B406E77"/>
    <w:rsid w:val="2B7314B2"/>
    <w:rsid w:val="2BA724F2"/>
    <w:rsid w:val="2BD66E93"/>
    <w:rsid w:val="2BD812EE"/>
    <w:rsid w:val="2BD82C0B"/>
    <w:rsid w:val="2C106849"/>
    <w:rsid w:val="2C385DA0"/>
    <w:rsid w:val="2C4E2C29"/>
    <w:rsid w:val="2C70553A"/>
    <w:rsid w:val="2C8065DF"/>
    <w:rsid w:val="2C8A6F15"/>
    <w:rsid w:val="2C952ED3"/>
    <w:rsid w:val="2CAF1B1A"/>
    <w:rsid w:val="2CB924C1"/>
    <w:rsid w:val="2CC96148"/>
    <w:rsid w:val="2CF0667B"/>
    <w:rsid w:val="2D1C7470"/>
    <w:rsid w:val="2D200D0E"/>
    <w:rsid w:val="2D391DD0"/>
    <w:rsid w:val="2D4F6E07"/>
    <w:rsid w:val="2D4F6EFD"/>
    <w:rsid w:val="2D7563B1"/>
    <w:rsid w:val="2D8172D3"/>
    <w:rsid w:val="2D957BDB"/>
    <w:rsid w:val="2D9844E1"/>
    <w:rsid w:val="2DA27A6E"/>
    <w:rsid w:val="2E01276E"/>
    <w:rsid w:val="2E39522B"/>
    <w:rsid w:val="2E6D684A"/>
    <w:rsid w:val="2E6D7F83"/>
    <w:rsid w:val="2E8C41AB"/>
    <w:rsid w:val="2E9F3EB4"/>
    <w:rsid w:val="2EAA33F6"/>
    <w:rsid w:val="2ED000FD"/>
    <w:rsid w:val="2F262CF7"/>
    <w:rsid w:val="2F3B1E2F"/>
    <w:rsid w:val="2F5051AF"/>
    <w:rsid w:val="2F5C7FF7"/>
    <w:rsid w:val="2F7F7184"/>
    <w:rsid w:val="2F804D60"/>
    <w:rsid w:val="2F837751"/>
    <w:rsid w:val="2F9B36C6"/>
    <w:rsid w:val="2FFB5AB5"/>
    <w:rsid w:val="305D1EAE"/>
    <w:rsid w:val="3084391F"/>
    <w:rsid w:val="30B47583"/>
    <w:rsid w:val="30BD737C"/>
    <w:rsid w:val="30C41A60"/>
    <w:rsid w:val="30D81900"/>
    <w:rsid w:val="30F57245"/>
    <w:rsid w:val="30FE1366"/>
    <w:rsid w:val="31682C84"/>
    <w:rsid w:val="31822F4F"/>
    <w:rsid w:val="319E48F7"/>
    <w:rsid w:val="31B77767"/>
    <w:rsid w:val="31C15747"/>
    <w:rsid w:val="31FC7995"/>
    <w:rsid w:val="324C089B"/>
    <w:rsid w:val="32590B33"/>
    <w:rsid w:val="329448A6"/>
    <w:rsid w:val="32A27CEB"/>
    <w:rsid w:val="32C275BD"/>
    <w:rsid w:val="32CF7441"/>
    <w:rsid w:val="32D0288E"/>
    <w:rsid w:val="32EC3440"/>
    <w:rsid w:val="33354DE7"/>
    <w:rsid w:val="33572206"/>
    <w:rsid w:val="33572FA7"/>
    <w:rsid w:val="33747E4C"/>
    <w:rsid w:val="337E22EA"/>
    <w:rsid w:val="33963DD0"/>
    <w:rsid w:val="339A00F8"/>
    <w:rsid w:val="339C4E66"/>
    <w:rsid w:val="33A930DF"/>
    <w:rsid w:val="33C1423E"/>
    <w:rsid w:val="33C93FAF"/>
    <w:rsid w:val="33D20888"/>
    <w:rsid w:val="33F22CD8"/>
    <w:rsid w:val="340824FC"/>
    <w:rsid w:val="340A43DA"/>
    <w:rsid w:val="341E4A06"/>
    <w:rsid w:val="3425052C"/>
    <w:rsid w:val="345117AD"/>
    <w:rsid w:val="34607383"/>
    <w:rsid w:val="346C65E7"/>
    <w:rsid w:val="34B73D80"/>
    <w:rsid w:val="34D4418C"/>
    <w:rsid w:val="34E42621"/>
    <w:rsid w:val="34F42637"/>
    <w:rsid w:val="35725E7F"/>
    <w:rsid w:val="35AF0E7E"/>
    <w:rsid w:val="35C50C26"/>
    <w:rsid w:val="35F42D38"/>
    <w:rsid w:val="36484E32"/>
    <w:rsid w:val="364A0BAA"/>
    <w:rsid w:val="36805195"/>
    <w:rsid w:val="36A22794"/>
    <w:rsid w:val="36B14785"/>
    <w:rsid w:val="36E95575"/>
    <w:rsid w:val="36F20B34"/>
    <w:rsid w:val="370746F3"/>
    <w:rsid w:val="371116C7"/>
    <w:rsid w:val="37773C20"/>
    <w:rsid w:val="377C2FB4"/>
    <w:rsid w:val="380A0E48"/>
    <w:rsid w:val="385449CD"/>
    <w:rsid w:val="3865032E"/>
    <w:rsid w:val="387C2CF9"/>
    <w:rsid w:val="389B5520"/>
    <w:rsid w:val="38A76395"/>
    <w:rsid w:val="38EA0422"/>
    <w:rsid w:val="38EE74ED"/>
    <w:rsid w:val="392B18D8"/>
    <w:rsid w:val="39897C3B"/>
    <w:rsid w:val="39B90520"/>
    <w:rsid w:val="39C57298"/>
    <w:rsid w:val="39C742BF"/>
    <w:rsid w:val="39CE2EAF"/>
    <w:rsid w:val="39D8471E"/>
    <w:rsid w:val="39E41315"/>
    <w:rsid w:val="39F74BA5"/>
    <w:rsid w:val="39F81FE3"/>
    <w:rsid w:val="3A1A6AE5"/>
    <w:rsid w:val="3A2161EC"/>
    <w:rsid w:val="3A2C36CA"/>
    <w:rsid w:val="3A2D041D"/>
    <w:rsid w:val="3A483652"/>
    <w:rsid w:val="3A5F274A"/>
    <w:rsid w:val="3A6E55B2"/>
    <w:rsid w:val="3A9F2325"/>
    <w:rsid w:val="3AA83003"/>
    <w:rsid w:val="3ADF30B4"/>
    <w:rsid w:val="3AE10910"/>
    <w:rsid w:val="3AED1AD0"/>
    <w:rsid w:val="3B070E17"/>
    <w:rsid w:val="3B196D9D"/>
    <w:rsid w:val="3B3039D2"/>
    <w:rsid w:val="3B4C2CCE"/>
    <w:rsid w:val="3B510614"/>
    <w:rsid w:val="3B54248D"/>
    <w:rsid w:val="3B8763FC"/>
    <w:rsid w:val="3BA046F2"/>
    <w:rsid w:val="3BC27434"/>
    <w:rsid w:val="3BD34417"/>
    <w:rsid w:val="3BF1629C"/>
    <w:rsid w:val="3C095063"/>
    <w:rsid w:val="3C574A7D"/>
    <w:rsid w:val="3C625480"/>
    <w:rsid w:val="3C9A4A21"/>
    <w:rsid w:val="3CCC3E86"/>
    <w:rsid w:val="3CDA38A5"/>
    <w:rsid w:val="3CEC364C"/>
    <w:rsid w:val="3CF03B2D"/>
    <w:rsid w:val="3CFA112E"/>
    <w:rsid w:val="3D2A1386"/>
    <w:rsid w:val="3D5679A4"/>
    <w:rsid w:val="3D954E00"/>
    <w:rsid w:val="3D995F73"/>
    <w:rsid w:val="3DA74B34"/>
    <w:rsid w:val="3DA908AC"/>
    <w:rsid w:val="3E574616"/>
    <w:rsid w:val="3E6C7532"/>
    <w:rsid w:val="3E79027E"/>
    <w:rsid w:val="3EFE4C27"/>
    <w:rsid w:val="3F1E2799"/>
    <w:rsid w:val="3F2957BB"/>
    <w:rsid w:val="3F3D5B5E"/>
    <w:rsid w:val="3F424B14"/>
    <w:rsid w:val="3F6E5909"/>
    <w:rsid w:val="3FA05CDE"/>
    <w:rsid w:val="3FED24A6"/>
    <w:rsid w:val="400E1306"/>
    <w:rsid w:val="4012098A"/>
    <w:rsid w:val="40306512"/>
    <w:rsid w:val="4035748D"/>
    <w:rsid w:val="403E177F"/>
    <w:rsid w:val="40714F85"/>
    <w:rsid w:val="408B24EB"/>
    <w:rsid w:val="409C64A6"/>
    <w:rsid w:val="40E1210B"/>
    <w:rsid w:val="40F260C6"/>
    <w:rsid w:val="41203D79"/>
    <w:rsid w:val="418507EC"/>
    <w:rsid w:val="41D659E7"/>
    <w:rsid w:val="41FD3C55"/>
    <w:rsid w:val="42385394"/>
    <w:rsid w:val="426E3306"/>
    <w:rsid w:val="42A264A8"/>
    <w:rsid w:val="42AD7255"/>
    <w:rsid w:val="42D436DC"/>
    <w:rsid w:val="42E3702F"/>
    <w:rsid w:val="42F01EAE"/>
    <w:rsid w:val="42F84555"/>
    <w:rsid w:val="430147AA"/>
    <w:rsid w:val="43534486"/>
    <w:rsid w:val="43571E00"/>
    <w:rsid w:val="437F7674"/>
    <w:rsid w:val="438C104B"/>
    <w:rsid w:val="438E1418"/>
    <w:rsid w:val="438F40A0"/>
    <w:rsid w:val="43A833B4"/>
    <w:rsid w:val="43AC1F4A"/>
    <w:rsid w:val="43C26223"/>
    <w:rsid w:val="43C9462F"/>
    <w:rsid w:val="43CF26EE"/>
    <w:rsid w:val="43DB5537"/>
    <w:rsid w:val="44127C50"/>
    <w:rsid w:val="442C6B46"/>
    <w:rsid w:val="442F052B"/>
    <w:rsid w:val="445018FC"/>
    <w:rsid w:val="44625310"/>
    <w:rsid w:val="446948F1"/>
    <w:rsid w:val="448F7DDB"/>
    <w:rsid w:val="44A00FB3"/>
    <w:rsid w:val="45142170"/>
    <w:rsid w:val="451D082D"/>
    <w:rsid w:val="452627E2"/>
    <w:rsid w:val="455B692F"/>
    <w:rsid w:val="4576656B"/>
    <w:rsid w:val="457E350F"/>
    <w:rsid w:val="458464C4"/>
    <w:rsid w:val="45885BCA"/>
    <w:rsid w:val="459A119E"/>
    <w:rsid w:val="45BE2A1A"/>
    <w:rsid w:val="45CE552A"/>
    <w:rsid w:val="45D109A0"/>
    <w:rsid w:val="45F653A0"/>
    <w:rsid w:val="46144D30"/>
    <w:rsid w:val="461B60BF"/>
    <w:rsid w:val="461D5993"/>
    <w:rsid w:val="462D1D55"/>
    <w:rsid w:val="462D3A73"/>
    <w:rsid w:val="46317690"/>
    <w:rsid w:val="4645792E"/>
    <w:rsid w:val="4669318B"/>
    <w:rsid w:val="46727664"/>
    <w:rsid w:val="467632F5"/>
    <w:rsid w:val="46B02CAB"/>
    <w:rsid w:val="46E841FD"/>
    <w:rsid w:val="47060B1D"/>
    <w:rsid w:val="4712103C"/>
    <w:rsid w:val="47367D8E"/>
    <w:rsid w:val="4737240B"/>
    <w:rsid w:val="47664E5A"/>
    <w:rsid w:val="47705F96"/>
    <w:rsid w:val="47797541"/>
    <w:rsid w:val="47B50190"/>
    <w:rsid w:val="47BC11DC"/>
    <w:rsid w:val="47C54534"/>
    <w:rsid w:val="47CA7D9C"/>
    <w:rsid w:val="47D6712F"/>
    <w:rsid w:val="483724FC"/>
    <w:rsid w:val="4842667A"/>
    <w:rsid w:val="48613E21"/>
    <w:rsid w:val="48F03833"/>
    <w:rsid w:val="490A7344"/>
    <w:rsid w:val="498153DC"/>
    <w:rsid w:val="49867CF3"/>
    <w:rsid w:val="49940662"/>
    <w:rsid w:val="49C44616"/>
    <w:rsid w:val="49DA4D1C"/>
    <w:rsid w:val="49F20EE5"/>
    <w:rsid w:val="4A11750E"/>
    <w:rsid w:val="4A1C3D99"/>
    <w:rsid w:val="4A2F3EE7"/>
    <w:rsid w:val="4A484FA8"/>
    <w:rsid w:val="4A5E657A"/>
    <w:rsid w:val="4A954692"/>
    <w:rsid w:val="4B317024"/>
    <w:rsid w:val="4B371D20"/>
    <w:rsid w:val="4B3A2EE9"/>
    <w:rsid w:val="4BA57FE8"/>
    <w:rsid w:val="4BA742EE"/>
    <w:rsid w:val="4BBF74EC"/>
    <w:rsid w:val="4BCC585A"/>
    <w:rsid w:val="4BD05255"/>
    <w:rsid w:val="4C0F2222"/>
    <w:rsid w:val="4C254AA8"/>
    <w:rsid w:val="4C2555A1"/>
    <w:rsid w:val="4C3103EA"/>
    <w:rsid w:val="4C59142F"/>
    <w:rsid w:val="4C662E2A"/>
    <w:rsid w:val="4C714C8A"/>
    <w:rsid w:val="4C8229F4"/>
    <w:rsid w:val="4C9D7690"/>
    <w:rsid w:val="4CA930CB"/>
    <w:rsid w:val="4CE865CF"/>
    <w:rsid w:val="4CEB6BD1"/>
    <w:rsid w:val="4CEF5BAF"/>
    <w:rsid w:val="4D147AEC"/>
    <w:rsid w:val="4D301632"/>
    <w:rsid w:val="4D581F62"/>
    <w:rsid w:val="4D632315"/>
    <w:rsid w:val="4D6C7200"/>
    <w:rsid w:val="4D9760D1"/>
    <w:rsid w:val="4DBD215C"/>
    <w:rsid w:val="4E191136"/>
    <w:rsid w:val="4E58172D"/>
    <w:rsid w:val="4E5C1022"/>
    <w:rsid w:val="4EC866B8"/>
    <w:rsid w:val="4EDC153E"/>
    <w:rsid w:val="4F03505F"/>
    <w:rsid w:val="4F251D5C"/>
    <w:rsid w:val="4F2558B8"/>
    <w:rsid w:val="4F6B6B79"/>
    <w:rsid w:val="4F7D3946"/>
    <w:rsid w:val="4F960564"/>
    <w:rsid w:val="4FC0714C"/>
    <w:rsid w:val="4FD23C92"/>
    <w:rsid w:val="50147125"/>
    <w:rsid w:val="502438A2"/>
    <w:rsid w:val="50281B04"/>
    <w:rsid w:val="50970A38"/>
    <w:rsid w:val="50A3172B"/>
    <w:rsid w:val="50B54D9E"/>
    <w:rsid w:val="50CB170A"/>
    <w:rsid w:val="50CF01D2"/>
    <w:rsid w:val="50D11E2F"/>
    <w:rsid w:val="50F9524E"/>
    <w:rsid w:val="51115C9D"/>
    <w:rsid w:val="512A365A"/>
    <w:rsid w:val="51874608"/>
    <w:rsid w:val="51A21442"/>
    <w:rsid w:val="51A72EFC"/>
    <w:rsid w:val="51AF590D"/>
    <w:rsid w:val="51C558D0"/>
    <w:rsid w:val="51D41662"/>
    <w:rsid w:val="51FA37BE"/>
    <w:rsid w:val="51FF52CB"/>
    <w:rsid w:val="52106242"/>
    <w:rsid w:val="524B3200"/>
    <w:rsid w:val="524F15CA"/>
    <w:rsid w:val="5262508A"/>
    <w:rsid w:val="527B23BF"/>
    <w:rsid w:val="528174BF"/>
    <w:rsid w:val="528A0DC4"/>
    <w:rsid w:val="528C7FEF"/>
    <w:rsid w:val="52D55A34"/>
    <w:rsid w:val="52DE2702"/>
    <w:rsid w:val="5311062D"/>
    <w:rsid w:val="5311365E"/>
    <w:rsid w:val="533453A9"/>
    <w:rsid w:val="535449BE"/>
    <w:rsid w:val="53733FC5"/>
    <w:rsid w:val="53854C7F"/>
    <w:rsid w:val="53951B0A"/>
    <w:rsid w:val="53B37937"/>
    <w:rsid w:val="53CD544F"/>
    <w:rsid w:val="53D33B35"/>
    <w:rsid w:val="53E53868"/>
    <w:rsid w:val="54197654"/>
    <w:rsid w:val="541C5E02"/>
    <w:rsid w:val="54252EDA"/>
    <w:rsid w:val="543A3BB4"/>
    <w:rsid w:val="545A3BF9"/>
    <w:rsid w:val="54630047"/>
    <w:rsid w:val="54770964"/>
    <w:rsid w:val="547C41CC"/>
    <w:rsid w:val="547F3CBD"/>
    <w:rsid w:val="549A0AF6"/>
    <w:rsid w:val="549E2395"/>
    <w:rsid w:val="54B06E11"/>
    <w:rsid w:val="54D22896"/>
    <w:rsid w:val="550D431A"/>
    <w:rsid w:val="552B1A30"/>
    <w:rsid w:val="557B26D6"/>
    <w:rsid w:val="558F0320"/>
    <w:rsid w:val="55A04AF4"/>
    <w:rsid w:val="55D51F06"/>
    <w:rsid w:val="56234C7E"/>
    <w:rsid w:val="56317D45"/>
    <w:rsid w:val="563C00B7"/>
    <w:rsid w:val="564560E1"/>
    <w:rsid w:val="56535401"/>
    <w:rsid w:val="56835225"/>
    <w:rsid w:val="56B0015D"/>
    <w:rsid w:val="56B75990"/>
    <w:rsid w:val="570524FE"/>
    <w:rsid w:val="570B18ED"/>
    <w:rsid w:val="570C0B2D"/>
    <w:rsid w:val="574F3E1A"/>
    <w:rsid w:val="579A4D5B"/>
    <w:rsid w:val="57A51C8C"/>
    <w:rsid w:val="57C26F30"/>
    <w:rsid w:val="581666E6"/>
    <w:rsid w:val="581F09BF"/>
    <w:rsid w:val="58647630"/>
    <w:rsid w:val="58774299"/>
    <w:rsid w:val="58E02CD3"/>
    <w:rsid w:val="59040346"/>
    <w:rsid w:val="5909411E"/>
    <w:rsid w:val="5925542E"/>
    <w:rsid w:val="596C096E"/>
    <w:rsid w:val="59814033"/>
    <w:rsid w:val="59C15C83"/>
    <w:rsid w:val="59DB3C9E"/>
    <w:rsid w:val="59DB7BE7"/>
    <w:rsid w:val="59E452C7"/>
    <w:rsid w:val="59ED4508"/>
    <w:rsid w:val="59F35CBA"/>
    <w:rsid w:val="59FD4441"/>
    <w:rsid w:val="5A8E2EAB"/>
    <w:rsid w:val="5A9B6796"/>
    <w:rsid w:val="5AA955EF"/>
    <w:rsid w:val="5AAA4A09"/>
    <w:rsid w:val="5AB056BB"/>
    <w:rsid w:val="5AFC302D"/>
    <w:rsid w:val="5B0D3DD0"/>
    <w:rsid w:val="5B1B069A"/>
    <w:rsid w:val="5B1F3B03"/>
    <w:rsid w:val="5B3A5E49"/>
    <w:rsid w:val="5B9F7350"/>
    <w:rsid w:val="5BBD57F6"/>
    <w:rsid w:val="5BD00F0E"/>
    <w:rsid w:val="5BD85899"/>
    <w:rsid w:val="5BF154A0"/>
    <w:rsid w:val="5C5510C9"/>
    <w:rsid w:val="5C7F4FF1"/>
    <w:rsid w:val="5C886555"/>
    <w:rsid w:val="5CB74532"/>
    <w:rsid w:val="5CBA7F88"/>
    <w:rsid w:val="5CCD707A"/>
    <w:rsid w:val="5CD728E8"/>
    <w:rsid w:val="5CD821BC"/>
    <w:rsid w:val="5D00006B"/>
    <w:rsid w:val="5D177188"/>
    <w:rsid w:val="5D753F65"/>
    <w:rsid w:val="5D8E3AF3"/>
    <w:rsid w:val="5D905B83"/>
    <w:rsid w:val="5D9A60BF"/>
    <w:rsid w:val="5DB838EB"/>
    <w:rsid w:val="5E0548F9"/>
    <w:rsid w:val="5E280F21"/>
    <w:rsid w:val="5E7D126D"/>
    <w:rsid w:val="5E8048B9"/>
    <w:rsid w:val="5E8425FB"/>
    <w:rsid w:val="5ECD5000"/>
    <w:rsid w:val="5EEE216B"/>
    <w:rsid w:val="5EFB2DEC"/>
    <w:rsid w:val="5F3C602D"/>
    <w:rsid w:val="5F52713E"/>
    <w:rsid w:val="5F9E489A"/>
    <w:rsid w:val="5FD838E2"/>
    <w:rsid w:val="600D6620"/>
    <w:rsid w:val="60190079"/>
    <w:rsid w:val="602E2206"/>
    <w:rsid w:val="60305190"/>
    <w:rsid w:val="605F38FD"/>
    <w:rsid w:val="60C97D4F"/>
    <w:rsid w:val="60D847A8"/>
    <w:rsid w:val="60F73C2D"/>
    <w:rsid w:val="6118702B"/>
    <w:rsid w:val="614D4E1D"/>
    <w:rsid w:val="61B9080E"/>
    <w:rsid w:val="61C7162B"/>
    <w:rsid w:val="61DF2737"/>
    <w:rsid w:val="61FF6D39"/>
    <w:rsid w:val="62022338"/>
    <w:rsid w:val="621041A6"/>
    <w:rsid w:val="622639C9"/>
    <w:rsid w:val="62467BC8"/>
    <w:rsid w:val="631B008F"/>
    <w:rsid w:val="63247F09"/>
    <w:rsid w:val="63376F0A"/>
    <w:rsid w:val="637F7D2F"/>
    <w:rsid w:val="638B00E1"/>
    <w:rsid w:val="63C83BAD"/>
    <w:rsid w:val="63F804BB"/>
    <w:rsid w:val="6421636E"/>
    <w:rsid w:val="64406189"/>
    <w:rsid w:val="64430C5E"/>
    <w:rsid w:val="64543A2C"/>
    <w:rsid w:val="646709F5"/>
    <w:rsid w:val="64846EDD"/>
    <w:rsid w:val="64D34C7C"/>
    <w:rsid w:val="64F61FCC"/>
    <w:rsid w:val="65063ACC"/>
    <w:rsid w:val="6535464F"/>
    <w:rsid w:val="655C29BA"/>
    <w:rsid w:val="656425CB"/>
    <w:rsid w:val="65B6256D"/>
    <w:rsid w:val="65C26CF0"/>
    <w:rsid w:val="6635713E"/>
    <w:rsid w:val="66734DBC"/>
    <w:rsid w:val="669A7B37"/>
    <w:rsid w:val="66B33785"/>
    <w:rsid w:val="67B26A77"/>
    <w:rsid w:val="67B60988"/>
    <w:rsid w:val="67B64D3E"/>
    <w:rsid w:val="67CE0D8B"/>
    <w:rsid w:val="67EA49D5"/>
    <w:rsid w:val="68092C9C"/>
    <w:rsid w:val="68096724"/>
    <w:rsid w:val="68144385"/>
    <w:rsid w:val="684C37A9"/>
    <w:rsid w:val="686F6A5D"/>
    <w:rsid w:val="688D5A13"/>
    <w:rsid w:val="689F6284"/>
    <w:rsid w:val="68A33FC6"/>
    <w:rsid w:val="68BF21BD"/>
    <w:rsid w:val="68C84D72"/>
    <w:rsid w:val="6920290F"/>
    <w:rsid w:val="69362744"/>
    <w:rsid w:val="69856A5B"/>
    <w:rsid w:val="699F335A"/>
    <w:rsid w:val="69B0699A"/>
    <w:rsid w:val="6A0720EC"/>
    <w:rsid w:val="6A162576"/>
    <w:rsid w:val="6A6E56A3"/>
    <w:rsid w:val="6A8F1B16"/>
    <w:rsid w:val="6AE646D7"/>
    <w:rsid w:val="6B6C1877"/>
    <w:rsid w:val="6B6D2669"/>
    <w:rsid w:val="6BA701DB"/>
    <w:rsid w:val="6BB36FF5"/>
    <w:rsid w:val="6BBF2EC5"/>
    <w:rsid w:val="6BE83A33"/>
    <w:rsid w:val="6BEC17E0"/>
    <w:rsid w:val="6BFD481D"/>
    <w:rsid w:val="6C704847"/>
    <w:rsid w:val="6D25144D"/>
    <w:rsid w:val="6D2C6A94"/>
    <w:rsid w:val="6D315ACA"/>
    <w:rsid w:val="6D427A1B"/>
    <w:rsid w:val="6D5E4BF0"/>
    <w:rsid w:val="6D762036"/>
    <w:rsid w:val="6DA31E1B"/>
    <w:rsid w:val="6DBE28E9"/>
    <w:rsid w:val="6DCF760B"/>
    <w:rsid w:val="6DDA2238"/>
    <w:rsid w:val="6DF87A82"/>
    <w:rsid w:val="6E001573"/>
    <w:rsid w:val="6E3000AA"/>
    <w:rsid w:val="6E4008BB"/>
    <w:rsid w:val="6E613023"/>
    <w:rsid w:val="6E712470"/>
    <w:rsid w:val="6E8E4DD0"/>
    <w:rsid w:val="6EB93246"/>
    <w:rsid w:val="6EC820B7"/>
    <w:rsid w:val="6EDB7808"/>
    <w:rsid w:val="6F0F4163"/>
    <w:rsid w:val="6F755C7D"/>
    <w:rsid w:val="6F8A00A1"/>
    <w:rsid w:val="6FB865A9"/>
    <w:rsid w:val="6FCA12D5"/>
    <w:rsid w:val="6FDB4045"/>
    <w:rsid w:val="6FDB6041"/>
    <w:rsid w:val="70063363"/>
    <w:rsid w:val="702C2AF3"/>
    <w:rsid w:val="707024BD"/>
    <w:rsid w:val="709B1C42"/>
    <w:rsid w:val="70C90342"/>
    <w:rsid w:val="70F32156"/>
    <w:rsid w:val="70F3716D"/>
    <w:rsid w:val="70FA76CF"/>
    <w:rsid w:val="711517D9"/>
    <w:rsid w:val="71290DE0"/>
    <w:rsid w:val="712A59E4"/>
    <w:rsid w:val="713F6451"/>
    <w:rsid w:val="715C2F64"/>
    <w:rsid w:val="715E0D9E"/>
    <w:rsid w:val="716B2939"/>
    <w:rsid w:val="717C7162"/>
    <w:rsid w:val="717E1F35"/>
    <w:rsid w:val="7194757D"/>
    <w:rsid w:val="71AA3CCF"/>
    <w:rsid w:val="71F0722D"/>
    <w:rsid w:val="721101F2"/>
    <w:rsid w:val="7242179D"/>
    <w:rsid w:val="725D51E5"/>
    <w:rsid w:val="72723FF6"/>
    <w:rsid w:val="72A523FB"/>
    <w:rsid w:val="72AF11DE"/>
    <w:rsid w:val="72C708F5"/>
    <w:rsid w:val="72CB7DB3"/>
    <w:rsid w:val="72E574BF"/>
    <w:rsid w:val="72FC49FE"/>
    <w:rsid w:val="730218E9"/>
    <w:rsid w:val="73243F55"/>
    <w:rsid w:val="733D2887"/>
    <w:rsid w:val="738D1AFA"/>
    <w:rsid w:val="7419338E"/>
    <w:rsid w:val="744A1B09"/>
    <w:rsid w:val="744C7B22"/>
    <w:rsid w:val="746574C3"/>
    <w:rsid w:val="74744180"/>
    <w:rsid w:val="747846C3"/>
    <w:rsid w:val="74FD05BA"/>
    <w:rsid w:val="750E2E16"/>
    <w:rsid w:val="752B15CB"/>
    <w:rsid w:val="752C0E9F"/>
    <w:rsid w:val="75657F46"/>
    <w:rsid w:val="756602EF"/>
    <w:rsid w:val="758352B9"/>
    <w:rsid w:val="758D639D"/>
    <w:rsid w:val="75B0387E"/>
    <w:rsid w:val="75CB24B4"/>
    <w:rsid w:val="75E24A42"/>
    <w:rsid w:val="75E53D7A"/>
    <w:rsid w:val="760A3A78"/>
    <w:rsid w:val="76236746"/>
    <w:rsid w:val="762D3121"/>
    <w:rsid w:val="763601FC"/>
    <w:rsid w:val="763C156E"/>
    <w:rsid w:val="76776BBE"/>
    <w:rsid w:val="768C7332"/>
    <w:rsid w:val="76947669"/>
    <w:rsid w:val="76B00860"/>
    <w:rsid w:val="76C246BC"/>
    <w:rsid w:val="7718792D"/>
    <w:rsid w:val="771D13E7"/>
    <w:rsid w:val="77647264"/>
    <w:rsid w:val="776B2153"/>
    <w:rsid w:val="77BC4FE8"/>
    <w:rsid w:val="780B56E4"/>
    <w:rsid w:val="781B5927"/>
    <w:rsid w:val="785518C1"/>
    <w:rsid w:val="787B0EF3"/>
    <w:rsid w:val="787D213D"/>
    <w:rsid w:val="78B83176"/>
    <w:rsid w:val="78D64757"/>
    <w:rsid w:val="79490272"/>
    <w:rsid w:val="7990031C"/>
    <w:rsid w:val="79984D55"/>
    <w:rsid w:val="79E70D0C"/>
    <w:rsid w:val="79E9138B"/>
    <w:rsid w:val="7A040E4D"/>
    <w:rsid w:val="7A1768B7"/>
    <w:rsid w:val="7A652CD5"/>
    <w:rsid w:val="7A7C6425"/>
    <w:rsid w:val="7A815EF3"/>
    <w:rsid w:val="7AA54114"/>
    <w:rsid w:val="7AAB11D5"/>
    <w:rsid w:val="7B024B7C"/>
    <w:rsid w:val="7B1228E5"/>
    <w:rsid w:val="7B2833D7"/>
    <w:rsid w:val="7BB60061"/>
    <w:rsid w:val="7C1728A9"/>
    <w:rsid w:val="7C506205"/>
    <w:rsid w:val="7C677F80"/>
    <w:rsid w:val="7C7F21C0"/>
    <w:rsid w:val="7CA35EEB"/>
    <w:rsid w:val="7D2334E5"/>
    <w:rsid w:val="7D254B52"/>
    <w:rsid w:val="7D264546"/>
    <w:rsid w:val="7D2C7C8E"/>
    <w:rsid w:val="7D567E2D"/>
    <w:rsid w:val="7D5B4A17"/>
    <w:rsid w:val="7D5D7C05"/>
    <w:rsid w:val="7D6B2EAC"/>
    <w:rsid w:val="7D831878"/>
    <w:rsid w:val="7DAA366A"/>
    <w:rsid w:val="7DBA1D35"/>
    <w:rsid w:val="7DCB0D9E"/>
    <w:rsid w:val="7DCC327D"/>
    <w:rsid w:val="7DD969D7"/>
    <w:rsid w:val="7E665422"/>
    <w:rsid w:val="7E8A3D42"/>
    <w:rsid w:val="7EA87DD3"/>
    <w:rsid w:val="7EB0432D"/>
    <w:rsid w:val="7EBC14E6"/>
    <w:rsid w:val="7EF04537"/>
    <w:rsid w:val="7F1C1F84"/>
    <w:rsid w:val="7F1C2897"/>
    <w:rsid w:val="7F1D58A2"/>
    <w:rsid w:val="7F7D0C75"/>
    <w:rsid w:val="7FD05249"/>
    <w:rsid w:val="7FD15598"/>
    <w:rsid w:val="B6B53D4F"/>
    <w:rsid w:val="DFE351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480"/>
      <w:contextualSpacing/>
      <w:outlineLvl w:val="0"/>
    </w:pPr>
    <w:rPr>
      <w:rFonts w:ascii="Cambria" w:hAnsi="Cambria"/>
      <w:b/>
      <w:bCs/>
      <w:sz w:val="28"/>
      <w:szCs w:val="28"/>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正文（文本）"/>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paragraph" w:styleId="5">
    <w:name w:val="Document Map"/>
    <w:basedOn w:val="1"/>
    <w:link w:val="28"/>
    <w:semiHidden/>
    <w:unhideWhenUsed/>
    <w:qFormat/>
    <w:uiPriority w:val="99"/>
    <w:rPr>
      <w:rFonts w:ascii="宋体" w:eastAsia="宋体"/>
      <w:sz w:val="18"/>
      <w:szCs w:val="18"/>
    </w:rPr>
  </w:style>
  <w:style w:type="paragraph" w:styleId="6">
    <w:name w:val="annotation text"/>
    <w:basedOn w:val="1"/>
    <w:link w:val="37"/>
    <w:qFormat/>
    <w:uiPriority w:val="0"/>
    <w:pPr>
      <w:jc w:val="left"/>
    </w:pPr>
    <w:rPr>
      <w:rFonts w:ascii="Calibri" w:hAnsi="Calibri" w:eastAsia="方正仿宋_GB2312" w:cs="Times New Roman"/>
      <w:szCs w:val="24"/>
    </w:rPr>
  </w:style>
  <w:style w:type="paragraph" w:styleId="7">
    <w:name w:val="Body Text"/>
    <w:basedOn w:val="1"/>
    <w:semiHidden/>
    <w:unhideWhenUsed/>
    <w:qFormat/>
    <w:uiPriority w:val="99"/>
    <w:pPr>
      <w:spacing w:after="120"/>
    </w:pPr>
  </w:style>
  <w:style w:type="paragraph" w:styleId="8">
    <w:name w:val="endnote text"/>
    <w:basedOn w:val="1"/>
    <w:link w:val="27"/>
    <w:semiHidden/>
    <w:unhideWhenUsed/>
    <w:qFormat/>
    <w:uiPriority w:val="99"/>
    <w:pPr>
      <w:snapToGrid w:val="0"/>
      <w:jc w:val="left"/>
    </w:pPr>
  </w:style>
  <w:style w:type="paragraph" w:styleId="9">
    <w:name w:val="Balloon Text"/>
    <w:basedOn w:val="1"/>
    <w:link w:val="26"/>
    <w:semiHidden/>
    <w:unhideWhenUsed/>
    <w:qFormat/>
    <w:uiPriority w:val="99"/>
    <w:rPr>
      <w:sz w:val="18"/>
      <w:szCs w:val="18"/>
    </w:rPr>
  </w:style>
  <w:style w:type="paragraph" w:styleId="10">
    <w:name w:val="footer"/>
    <w:basedOn w:val="1"/>
    <w:link w:val="24"/>
    <w:unhideWhenUsed/>
    <w:qFormat/>
    <w:uiPriority w:val="99"/>
    <w:pPr>
      <w:tabs>
        <w:tab w:val="center" w:pos="4153"/>
        <w:tab w:val="right" w:pos="8306"/>
      </w:tabs>
      <w:snapToGrid w:val="0"/>
      <w:jc w:val="left"/>
    </w:pPr>
    <w:rPr>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296"/>
      </w:tabs>
      <w:spacing w:line="520" w:lineRule="exact"/>
    </w:pPr>
    <w:rPr>
      <w:rFonts w:ascii="Times New Roman" w:hAnsi="Times New Roman" w:eastAsia="仿宋_GB2312" w:cs="Times New Roman"/>
      <w:b/>
      <w:bCs/>
      <w:sz w:val="28"/>
      <w:szCs w:val="28"/>
    </w:rPr>
  </w:style>
  <w:style w:type="paragraph" w:styleId="13">
    <w:name w:val="footnote text"/>
    <w:basedOn w:val="1"/>
    <w:link w:val="25"/>
    <w:semiHidden/>
    <w:unhideWhenUsed/>
    <w:qFormat/>
    <w:uiPriority w:val="99"/>
    <w:pPr>
      <w:snapToGrid w:val="0"/>
      <w:spacing w:beforeLines="50" w:afterLines="50" w:line="360" w:lineRule="auto"/>
      <w:jc w:val="left"/>
    </w:pPr>
    <w:rPr>
      <w:rFonts w:ascii="Times New Roman" w:hAnsi="Times New Roman" w:eastAsia="仿宋_GB2312" w:cs="Times New Roman"/>
      <w:sz w:val="18"/>
      <w:szCs w:val="18"/>
    </w:rPr>
  </w:style>
  <w:style w:type="paragraph" w:styleId="14">
    <w:name w:val="toc 2"/>
    <w:basedOn w:val="1"/>
    <w:next w:val="1"/>
    <w:unhideWhenUsed/>
    <w:qFormat/>
    <w:uiPriority w:val="39"/>
    <w:pPr>
      <w:ind w:left="420" w:leftChars="200"/>
    </w:pPr>
  </w:style>
  <w:style w:type="paragraph" w:styleId="15">
    <w:name w:val="annotation subject"/>
    <w:basedOn w:val="6"/>
    <w:next w:val="6"/>
    <w:link w:val="38"/>
    <w:semiHidden/>
    <w:unhideWhenUsed/>
    <w:qFormat/>
    <w:uiPriority w:val="99"/>
    <w:rPr>
      <w:rFonts w:asciiTheme="minorHAnsi" w:hAnsiTheme="minorHAnsi" w:eastAsiaTheme="minorEastAsia" w:cstheme="minorBidi"/>
      <w:b/>
      <w:bCs/>
      <w:szCs w:val="22"/>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endnote reference"/>
    <w:basedOn w:val="18"/>
    <w:semiHidden/>
    <w:unhideWhenUsed/>
    <w:qFormat/>
    <w:uiPriority w:val="99"/>
    <w:rPr>
      <w:vertAlign w:val="superscript"/>
    </w:rPr>
  </w:style>
  <w:style w:type="character" w:styleId="20">
    <w:name w:val="Hyperlink"/>
    <w:basedOn w:val="18"/>
    <w:unhideWhenUsed/>
    <w:qFormat/>
    <w:uiPriority w:val="99"/>
    <w:rPr>
      <w:color w:val="0000FF"/>
      <w:u w:val="single"/>
    </w:rPr>
  </w:style>
  <w:style w:type="character" w:styleId="21">
    <w:name w:val="annotation reference"/>
    <w:basedOn w:val="18"/>
    <w:semiHidden/>
    <w:unhideWhenUsed/>
    <w:qFormat/>
    <w:uiPriority w:val="99"/>
    <w:rPr>
      <w:sz w:val="21"/>
      <w:szCs w:val="21"/>
    </w:rPr>
  </w:style>
  <w:style w:type="character" w:styleId="22">
    <w:name w:val="footnote reference"/>
    <w:basedOn w:val="18"/>
    <w:semiHidden/>
    <w:unhideWhenUsed/>
    <w:qFormat/>
    <w:uiPriority w:val="99"/>
    <w:rPr>
      <w:vertAlign w:val="superscript"/>
    </w:rPr>
  </w:style>
  <w:style w:type="character" w:customStyle="1" w:styleId="23">
    <w:name w:val="页眉 字符"/>
    <w:basedOn w:val="18"/>
    <w:link w:val="11"/>
    <w:qFormat/>
    <w:uiPriority w:val="99"/>
    <w:rPr>
      <w:sz w:val="18"/>
      <w:szCs w:val="18"/>
    </w:rPr>
  </w:style>
  <w:style w:type="character" w:customStyle="1" w:styleId="24">
    <w:name w:val="页脚 字符"/>
    <w:basedOn w:val="18"/>
    <w:link w:val="10"/>
    <w:qFormat/>
    <w:uiPriority w:val="99"/>
    <w:rPr>
      <w:sz w:val="18"/>
      <w:szCs w:val="18"/>
    </w:rPr>
  </w:style>
  <w:style w:type="character" w:customStyle="1" w:styleId="25">
    <w:name w:val="脚注文本 字符"/>
    <w:basedOn w:val="18"/>
    <w:link w:val="13"/>
    <w:semiHidden/>
    <w:qFormat/>
    <w:uiPriority w:val="99"/>
    <w:rPr>
      <w:rFonts w:ascii="Times New Roman" w:hAnsi="Times New Roman" w:eastAsia="仿宋_GB2312" w:cs="Times New Roman"/>
      <w:sz w:val="18"/>
      <w:szCs w:val="18"/>
    </w:rPr>
  </w:style>
  <w:style w:type="character" w:customStyle="1" w:styleId="26">
    <w:name w:val="批注框文本 字符"/>
    <w:basedOn w:val="18"/>
    <w:link w:val="9"/>
    <w:semiHidden/>
    <w:qFormat/>
    <w:uiPriority w:val="99"/>
    <w:rPr>
      <w:sz w:val="18"/>
      <w:szCs w:val="18"/>
    </w:rPr>
  </w:style>
  <w:style w:type="character" w:customStyle="1" w:styleId="27">
    <w:name w:val="尾注文本 字符"/>
    <w:basedOn w:val="18"/>
    <w:link w:val="8"/>
    <w:semiHidden/>
    <w:qFormat/>
    <w:uiPriority w:val="99"/>
    <w:rPr>
      <w:kern w:val="2"/>
      <w:sz w:val="21"/>
      <w:szCs w:val="22"/>
    </w:rPr>
  </w:style>
  <w:style w:type="character" w:customStyle="1" w:styleId="28">
    <w:name w:val="文档结构图 字符"/>
    <w:basedOn w:val="18"/>
    <w:link w:val="5"/>
    <w:semiHidden/>
    <w:qFormat/>
    <w:uiPriority w:val="99"/>
    <w:rPr>
      <w:rFonts w:ascii="宋体" w:eastAsia="宋体"/>
      <w:kern w:val="2"/>
      <w:sz w:val="18"/>
      <w:szCs w:val="18"/>
    </w:rPr>
  </w:style>
  <w:style w:type="paragraph" w:customStyle="1" w:styleId="29">
    <w:name w:val="无间隔2"/>
    <w:qFormat/>
    <w:uiPriority w:val="0"/>
    <w:rPr>
      <w:rFonts w:ascii="Calibri" w:hAnsi="Calibri" w:eastAsia="宋体" w:cs="Calibri"/>
      <w:sz w:val="22"/>
      <w:szCs w:val="22"/>
      <w:lang w:val="en-US" w:eastAsia="zh-CN" w:bidi="ar-SA"/>
    </w:rPr>
  </w:style>
  <w:style w:type="paragraph" w:styleId="30">
    <w:name w:val="List Paragraph"/>
    <w:basedOn w:val="1"/>
    <w:qFormat/>
    <w:uiPriority w:val="34"/>
    <w:pPr>
      <w:widowControl/>
      <w:ind w:firstLine="420" w:firstLineChars="200"/>
      <w:jc w:val="left"/>
    </w:pPr>
    <w:rPr>
      <w:rFonts w:ascii="Calibri" w:hAnsi="Calibri" w:eastAsia="Calibri" w:cs="Calibri"/>
      <w:color w:val="000000"/>
      <w:szCs w:val="21"/>
      <w:u w:color="000000"/>
    </w:rPr>
  </w:style>
  <w:style w:type="paragraph" w:customStyle="1" w:styleId="31">
    <w:name w:val="浦东正文"/>
    <w:basedOn w:val="1"/>
    <w:link w:val="32"/>
    <w:qFormat/>
    <w:uiPriority w:val="0"/>
    <w:pPr>
      <w:spacing w:line="500" w:lineRule="exact"/>
      <w:ind w:firstLine="720" w:firstLineChars="200"/>
    </w:pPr>
    <w:rPr>
      <w:rFonts w:ascii="Times New Roman" w:hAnsi="Times New Roman" w:eastAsia="仿宋_GB2312"/>
      <w:sz w:val="32"/>
      <w:szCs w:val="32"/>
    </w:rPr>
  </w:style>
  <w:style w:type="character" w:customStyle="1" w:styleId="32">
    <w:name w:val="云拓浦东正文 Char"/>
    <w:link w:val="31"/>
    <w:qFormat/>
    <w:uiPriority w:val="0"/>
    <w:rPr>
      <w:rFonts w:eastAsia="仿宋_GB2312" w:cstheme="minorBidi"/>
      <w:kern w:val="2"/>
      <w:sz w:val="32"/>
      <w:szCs w:val="32"/>
    </w:rPr>
  </w:style>
  <w:style w:type="paragraph" w:customStyle="1" w:styleId="33">
    <w:name w:val="图表名"/>
    <w:basedOn w:val="1"/>
    <w:qFormat/>
    <w:uiPriority w:val="0"/>
    <w:pPr>
      <w:jc w:val="center"/>
    </w:pPr>
    <w:rPr>
      <w:rFonts w:ascii="Calibri" w:hAnsi="Calibri" w:eastAsia="方正仿宋_GB2312" w:cs="Times New Roman"/>
      <w:b/>
      <w:sz w:val="28"/>
      <w:szCs w:val="28"/>
    </w:rPr>
  </w:style>
  <w:style w:type="paragraph" w:customStyle="1" w:styleId="34">
    <w:name w:val="表文字"/>
    <w:basedOn w:val="33"/>
    <w:qFormat/>
    <w:uiPriority w:val="0"/>
    <w:rPr>
      <w:b w:val="0"/>
      <w:bCs/>
      <w:sz w:val="24"/>
      <w:szCs w:val="24"/>
    </w:rPr>
  </w:style>
  <w:style w:type="paragraph" w:customStyle="1" w:styleId="35">
    <w:name w:val="浦东正文标题1"/>
    <w:basedOn w:val="1"/>
    <w:link w:val="36"/>
    <w:qFormat/>
    <w:uiPriority w:val="0"/>
    <w:pPr>
      <w:numPr>
        <w:ilvl w:val="0"/>
        <w:numId w:val="1"/>
      </w:numPr>
      <w:tabs>
        <w:tab w:val="left" w:pos="0"/>
      </w:tabs>
      <w:spacing w:line="500" w:lineRule="exact"/>
      <w:ind w:firstLine="200" w:firstLineChars="200"/>
      <w:jc w:val="left"/>
      <w:outlineLvl w:val="0"/>
    </w:pPr>
    <w:rPr>
      <w:rFonts w:ascii="Times New Roman" w:hAnsi="Times New Roman" w:eastAsia="黑体" w:cs="Times New Roman"/>
      <w:b/>
      <w:bCs/>
      <w:color w:val="000000"/>
      <w:sz w:val="32"/>
      <w:szCs w:val="32"/>
    </w:rPr>
  </w:style>
  <w:style w:type="character" w:customStyle="1" w:styleId="36">
    <w:name w:val="云拓浦东正文标题1 Char1"/>
    <w:link w:val="35"/>
    <w:qFormat/>
    <w:uiPriority w:val="0"/>
    <w:rPr>
      <w:rFonts w:eastAsia="黑体"/>
      <w:b/>
      <w:bCs/>
      <w:color w:val="000000"/>
      <w:kern w:val="2"/>
      <w:sz w:val="32"/>
      <w:szCs w:val="32"/>
    </w:rPr>
  </w:style>
  <w:style w:type="character" w:customStyle="1" w:styleId="37">
    <w:name w:val="批注文字 字符"/>
    <w:basedOn w:val="18"/>
    <w:link w:val="6"/>
    <w:qFormat/>
    <w:uiPriority w:val="0"/>
    <w:rPr>
      <w:rFonts w:ascii="Calibri" w:hAnsi="Calibri" w:eastAsia="方正仿宋_GB2312"/>
      <w:kern w:val="2"/>
      <w:sz w:val="21"/>
      <w:szCs w:val="24"/>
    </w:rPr>
  </w:style>
  <w:style w:type="character" w:customStyle="1" w:styleId="38">
    <w:name w:val="批注主题 字符"/>
    <w:basedOn w:val="37"/>
    <w:link w:val="15"/>
    <w:semiHidden/>
    <w:qFormat/>
    <w:uiPriority w:val="99"/>
    <w:rPr>
      <w:rFonts w:asciiTheme="minorHAnsi" w:hAnsiTheme="minorHAnsi" w:eastAsiaTheme="minorEastAsia" w:cstheme="minorBidi"/>
      <w:b/>
      <w:bCs/>
      <w:kern w:val="2"/>
      <w:sz w:val="21"/>
      <w:szCs w:val="22"/>
    </w:rPr>
  </w:style>
  <w:style w:type="character" w:customStyle="1" w:styleId="39">
    <w:name w:val="font31"/>
    <w:basedOn w:val="18"/>
    <w:qFormat/>
    <w:uiPriority w:val="0"/>
    <w:rPr>
      <w:rFonts w:hint="eastAsia" w:ascii="仿宋_GB2312" w:eastAsia="仿宋_GB2312" w:cs="仿宋_GB2312"/>
      <w:color w:val="FF0000"/>
      <w:sz w:val="28"/>
      <w:szCs w:val="28"/>
      <w:u w:val="none"/>
    </w:rPr>
  </w:style>
  <w:style w:type="character" w:customStyle="1" w:styleId="40">
    <w:name w:val="font01"/>
    <w:basedOn w:val="18"/>
    <w:qFormat/>
    <w:uiPriority w:val="0"/>
    <w:rPr>
      <w:rFonts w:hint="eastAsia" w:ascii="仿宋_GB2312" w:eastAsia="仿宋_GB2312" w:cs="仿宋_GB2312"/>
      <w:color w:val="000000"/>
      <w:sz w:val="28"/>
      <w:szCs w:val="28"/>
      <w:u w:val="none"/>
    </w:rPr>
  </w:style>
  <w:style w:type="paragraph" w:customStyle="1" w:styleId="41">
    <w:name w:val="云拓浦东正文"/>
    <w:basedOn w:val="1"/>
    <w:qFormat/>
    <w:uiPriority w:val="0"/>
    <w:pPr>
      <w:spacing w:line="500" w:lineRule="exact"/>
      <w:ind w:firstLine="720" w:firstLineChars="200"/>
    </w:pPr>
    <w:rPr>
      <w:rFonts w:ascii="Times New Roman" w:hAnsi="Times New Roman" w:eastAsia="仿宋_GB2312" w:cs="Times New Roman"/>
      <w:sz w:val="32"/>
      <w:szCs w:val="32"/>
    </w:rPr>
  </w:style>
  <w:style w:type="character" w:customStyle="1" w:styleId="42">
    <w:name w:val="font11"/>
    <w:basedOn w:val="18"/>
    <w:qFormat/>
    <w:uiPriority w:val="0"/>
    <w:rPr>
      <w:rFonts w:hint="eastAsia" w:ascii="仿宋_GB2312" w:eastAsia="仿宋_GB2312" w:cs="仿宋_GB2312"/>
      <w:color w:val="000000"/>
      <w:sz w:val="24"/>
      <w:szCs w:val="24"/>
      <w:u w:val="none"/>
    </w:rPr>
  </w:style>
  <w:style w:type="paragraph" w:customStyle="1" w:styleId="43">
    <w:name w:val="WPSOffice手动目录 1"/>
    <w:qFormat/>
    <w:uiPriority w:val="0"/>
    <w:rPr>
      <w:rFonts w:ascii="Times New Roman" w:hAnsi="Times New Roman" w:eastAsia="宋体" w:cs="Times New Roman"/>
      <w:lang w:val="en-US" w:eastAsia="zh-CN" w:bidi="ar-SA"/>
    </w:rPr>
  </w:style>
  <w:style w:type="paragraph" w:customStyle="1" w:styleId="4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6">
    <w:name w:val="font51"/>
    <w:basedOn w:val="18"/>
    <w:qFormat/>
    <w:uiPriority w:val="0"/>
    <w:rPr>
      <w:rFonts w:hint="eastAsia" w:ascii="仿宋_GB2312" w:eastAsia="仿宋_GB2312" w:cs="仿宋_GB2312"/>
      <w:color w:val="000000"/>
      <w:sz w:val="24"/>
      <w:szCs w:val="24"/>
      <w:u w:val="none"/>
    </w:rPr>
  </w:style>
  <w:style w:type="paragraph" w:customStyle="1" w:styleId="47">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8">
    <w:name w:val="font21"/>
    <w:basedOn w:val="18"/>
    <w:qFormat/>
    <w:uiPriority w:val="0"/>
    <w:rPr>
      <w:rFonts w:hint="eastAsia" w:ascii="仿宋_GB2312" w:eastAsia="仿宋_GB2312" w:cs="仿宋_GB2312"/>
      <w:color w:val="000000"/>
      <w:sz w:val="21"/>
      <w:szCs w:val="21"/>
      <w:u w:val="none"/>
    </w:rPr>
  </w:style>
  <w:style w:type="character" w:customStyle="1" w:styleId="49">
    <w:name w:val="font71"/>
    <w:basedOn w:val="18"/>
    <w:qFormat/>
    <w:uiPriority w:val="0"/>
    <w:rPr>
      <w:rFonts w:hint="eastAsia" w:ascii="宋体" w:hAnsi="宋体" w:eastAsia="宋体" w:cs="宋体"/>
      <w:color w:val="000000"/>
      <w:sz w:val="22"/>
      <w:szCs w:val="22"/>
      <w:u w:val="none"/>
    </w:rPr>
  </w:style>
  <w:style w:type="character" w:customStyle="1" w:styleId="50">
    <w:name w:val="font81"/>
    <w:basedOn w:val="18"/>
    <w:qFormat/>
    <w:uiPriority w:val="0"/>
    <w:rPr>
      <w:rFonts w:hint="eastAsia" w:ascii="宋体" w:hAnsi="宋体" w:eastAsia="宋体" w:cs="宋体"/>
      <w:b/>
      <w:bCs/>
      <w:color w:val="000000"/>
      <w:sz w:val="22"/>
      <w:szCs w:val="22"/>
      <w:u w:val="none"/>
    </w:rPr>
  </w:style>
  <w:style w:type="paragraph" w:customStyle="1" w:styleId="51">
    <w:name w:val="表格字体"/>
    <w:basedOn w:val="1"/>
    <w:qFormat/>
    <w:uiPriority w:val="0"/>
    <w:pPr>
      <w:jc w:val="center"/>
    </w:pPr>
    <w:rPr>
      <w:rFonts w:hint="eastAsia"/>
      <w:sz w:val="22"/>
    </w:rPr>
  </w:style>
  <w:style w:type="paragraph" w:customStyle="1" w:styleId="52">
    <w:name w:val="修订3"/>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3">
    <w:name w:val="font61"/>
    <w:basedOn w:val="18"/>
    <w:qFormat/>
    <w:uiPriority w:val="0"/>
    <w:rPr>
      <w:rFonts w:hint="eastAsia" w:ascii="仿宋_GB2312" w:eastAsia="仿宋_GB2312" w:cs="仿宋_GB2312"/>
      <w:color w:val="FF0000"/>
      <w:sz w:val="28"/>
      <w:szCs w:val="28"/>
      <w:u w:val="none"/>
    </w:rPr>
  </w:style>
  <w:style w:type="paragraph" w:customStyle="1" w:styleId="54">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55">
    <w:name w:val="青浦正文"/>
    <w:basedOn w:val="1"/>
    <w:link w:val="57"/>
    <w:qFormat/>
    <w:uiPriority w:val="0"/>
    <w:pPr>
      <w:spacing w:line="560" w:lineRule="exact"/>
      <w:ind w:firstLine="640" w:firstLineChars="200"/>
    </w:pPr>
    <w:rPr>
      <w:rFonts w:ascii="Times New Roman" w:hAnsi="Times New Roman" w:eastAsia="仿宋_GB2312" w:cs="Times New Roman"/>
      <w:sz w:val="32"/>
      <w:szCs w:val="32"/>
    </w:rPr>
  </w:style>
  <w:style w:type="paragraph" w:customStyle="1" w:styleId="56">
    <w:name w:val="一级题目"/>
    <w:basedOn w:val="30"/>
    <w:link w:val="58"/>
    <w:qFormat/>
    <w:uiPriority w:val="0"/>
    <w:pPr>
      <w:widowControl w:val="0"/>
      <w:spacing w:line="560" w:lineRule="exact"/>
      <w:ind w:left="640" w:firstLine="0" w:firstLineChars="0"/>
      <w:jc w:val="both"/>
      <w:outlineLvl w:val="0"/>
    </w:pPr>
    <w:rPr>
      <w:rFonts w:ascii="Times New Roman" w:hAnsi="Times New Roman" w:eastAsia="黑体" w:cs="Times New Roman"/>
      <w:color w:val="auto"/>
      <w:sz w:val="32"/>
      <w:szCs w:val="28"/>
    </w:rPr>
  </w:style>
  <w:style w:type="character" w:customStyle="1" w:styleId="57">
    <w:name w:val="青浦正文 字符"/>
    <w:link w:val="55"/>
    <w:qFormat/>
    <w:uiPriority w:val="0"/>
    <w:rPr>
      <w:rFonts w:eastAsia="仿宋_GB2312"/>
      <w:kern w:val="2"/>
      <w:sz w:val="32"/>
      <w:szCs w:val="32"/>
    </w:rPr>
  </w:style>
  <w:style w:type="character" w:customStyle="1" w:styleId="58">
    <w:name w:val="一级题目 字符"/>
    <w:link w:val="56"/>
    <w:qFormat/>
    <w:uiPriority w:val="0"/>
    <w:rPr>
      <w:rFonts w:eastAsia="黑体"/>
      <w:kern w:val="2"/>
      <w:sz w:val="32"/>
      <w:szCs w:val="28"/>
    </w:rPr>
  </w:style>
  <w:style w:type="paragraph" w:customStyle="1" w:styleId="59">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60">
    <w:name w:val="修订6"/>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61">
    <w:name w:val="font41"/>
    <w:basedOn w:val="18"/>
    <w:qFormat/>
    <w:uiPriority w:val="0"/>
    <w:rPr>
      <w:rFonts w:hint="eastAsia" w:ascii="仿宋_GB2312" w:eastAsia="仿宋_GB2312" w:cs="仿宋_GB2312"/>
      <w:color w:val="000000"/>
      <w:sz w:val="24"/>
      <w:szCs w:val="24"/>
      <w:u w:val="none"/>
    </w:rPr>
  </w:style>
  <w:style w:type="paragraph" w:customStyle="1" w:styleId="62">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2D1CF3-8746-47F2-B025-F6535F8D207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295</Pages>
  <Words>20766</Words>
  <Characters>118371</Characters>
  <Lines>986</Lines>
  <Paragraphs>277</Paragraphs>
  <TotalTime>0</TotalTime>
  <ScaleCrop>false</ScaleCrop>
  <LinksUpToDate>false</LinksUpToDate>
  <CharactersWithSpaces>138860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2023-08-28T02:03:00Z</dcterms:created>
  <dc:creator>admin</dc:creator>
  <cp:lastModifiedBy>Administrator</cp:lastModifiedBy>
  <cp:lastPrinted>2023-04-06T23:20:00Z</cp:lastPrinted>
  <dcterms:modified xsi:type="dcterms:W3CDTF">2024-01-08T08:10:59Z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D8386BC31FAB4125976DF361E508A2CF_13</vt:lpwstr>
  </property>
</Properties>
</file>