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  <w:r>
        <w:rPr>
          <w:rFonts w:hint="eastAsia" w:ascii="方正小标宋简体" w:eastAsia="方正小标宋简体"/>
          <w:b/>
          <w:sz w:val="48"/>
          <w:szCs w:val="52"/>
        </w:rPr>
        <w:t>《</w:t>
      </w:r>
      <w:r>
        <w:rPr>
          <w:rFonts w:hint="eastAsia" w:ascii="方正小标宋简体" w:eastAsia="方正小标宋简体"/>
          <w:b/>
          <w:sz w:val="48"/>
          <w:szCs w:val="52"/>
          <w:lang w:eastAsia="zh-CN"/>
        </w:rPr>
        <w:t>关于上海市改革完善耕地占补平衡制度的操作细则（试行）</w:t>
      </w:r>
      <w:r>
        <w:rPr>
          <w:rFonts w:hint="eastAsia" w:ascii="方正小标宋简体" w:eastAsia="方正小标宋简体"/>
          <w:b/>
          <w:sz w:val="48"/>
          <w:szCs w:val="52"/>
        </w:rPr>
        <w:t>》</w:t>
      </w: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  <w:r>
        <w:rPr>
          <w:rFonts w:hint="eastAsia" w:ascii="方正小标宋简体" w:eastAsia="方正小标宋简体"/>
          <w:b/>
          <w:sz w:val="48"/>
          <w:szCs w:val="52"/>
        </w:rPr>
        <w:t>社会稳定风险评估报告</w:t>
      </w: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8"/>
          <w:szCs w:val="52"/>
        </w:rPr>
      </w:pP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  <w:r>
        <w:rPr>
          <w:rFonts w:hint="eastAsia" w:ascii="方正小标宋简体" w:eastAsia="方正小标宋简体"/>
          <w:b/>
          <w:sz w:val="40"/>
          <w:szCs w:val="52"/>
        </w:rPr>
        <w:t>青浦区规划和自然资源局</w:t>
      </w: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  <w:r>
        <w:rPr>
          <w:rFonts w:hint="eastAsia" w:ascii="方正小标宋简体" w:eastAsia="方正小标宋简体"/>
          <w:b/>
          <w:sz w:val="40"/>
          <w:szCs w:val="52"/>
        </w:rPr>
        <w:t>202</w:t>
      </w:r>
      <w:r>
        <w:rPr>
          <w:rFonts w:hint="eastAsia" w:ascii="方正小标宋简体" w:eastAsia="方正小标宋简体"/>
          <w:b/>
          <w:sz w:val="40"/>
          <w:szCs w:val="52"/>
          <w:lang w:val="en-US" w:eastAsia="zh-CN"/>
        </w:rPr>
        <w:t>4</w:t>
      </w:r>
      <w:r>
        <w:rPr>
          <w:rFonts w:hint="eastAsia" w:ascii="方正小标宋简体" w:eastAsia="方正小标宋简体"/>
          <w:b/>
          <w:sz w:val="40"/>
          <w:szCs w:val="52"/>
        </w:rPr>
        <w:t>年</w:t>
      </w:r>
      <w:r>
        <w:rPr>
          <w:rFonts w:hint="eastAsia" w:ascii="方正小标宋简体" w:eastAsia="方正小标宋简体"/>
          <w:b/>
          <w:sz w:val="40"/>
          <w:szCs w:val="52"/>
          <w:lang w:val="en-US" w:eastAsia="zh-CN"/>
        </w:rPr>
        <w:t>9</w:t>
      </w:r>
      <w:r>
        <w:rPr>
          <w:rFonts w:hint="eastAsia" w:ascii="方正小标宋简体" w:eastAsia="方正小标宋简体"/>
          <w:b/>
          <w:sz w:val="40"/>
          <w:szCs w:val="52"/>
        </w:rPr>
        <w:t>月</w:t>
      </w: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</w:p>
    <w:p>
      <w:pPr>
        <w:jc w:val="center"/>
        <w:rPr>
          <w:rFonts w:ascii="方正小标宋简体" w:eastAsia="方正小标宋简体"/>
          <w:b/>
          <w:sz w:val="40"/>
          <w:szCs w:val="52"/>
        </w:rPr>
      </w:pPr>
    </w:p>
    <w:p>
      <w:pPr>
        <w:jc w:val="center"/>
        <w:rPr>
          <w:rFonts w:ascii="方正小标宋简体" w:eastAsia="方正小标宋简体"/>
          <w:b/>
          <w:sz w:val="40"/>
          <w:szCs w:val="5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/>
        </w:rPr>
        <w:id w:val="147457393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/>
          <w:sz w:val="32"/>
          <w:szCs w:val="32"/>
        </w:rPr>
      </w:sdtEndPr>
      <w:sdtContent>
        <w:p>
          <w:pPr>
            <w:jc w:val="center"/>
            <w:rPr>
              <w:rFonts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 w:val="32"/>
              <w:szCs w:val="32"/>
            </w:rPr>
            <w:t>目录</w:t>
          </w:r>
        </w:p>
        <w:p>
          <w:pPr>
            <w:pStyle w:val="3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b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b/>
              <w:sz w:val="32"/>
              <w:szCs w:val="32"/>
            </w:rPr>
            <w:instrText xml:space="preserve">TOC \o "1-2" \h \u </w:instrText>
          </w:r>
          <w:r>
            <w:rPr>
              <w:rFonts w:hint="eastAsia" w:ascii="仿宋" w:hAnsi="仿宋" w:eastAsia="仿宋" w:cs="仿宋"/>
              <w:b/>
              <w:sz w:val="32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"_Toc6953"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前   言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_Toc6953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1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"_Toc27564"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第1章 项目概况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_Toc27564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3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"_Toc31471"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1.1 评估背景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_Toc31471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3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"_Toc23408"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1.2评估目的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_Toc23408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3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"_Toc7421"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1.3评估内容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t>3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"_Toc17751"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1.4编制依据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t>3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"_Toc694"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第2章 风险调查及识别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_Toc694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5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"_Toc28416"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2.1风险调查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_Toc28416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5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"_Toc9698"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2.2风险点和风险源识别和分析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_Toc9698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5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"_Toc4910"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2.3风险等级评判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t>5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"_Toc17893"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第3章 风险防范及化解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_Toc17893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9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"_Toc27804"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第4章 结论与建议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_Toc27804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10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"_Toc28627"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4.1结论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_Toc28627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10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"_Toc9291"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2"/>
              <w:szCs w:val="32"/>
            </w:rPr>
            <w:t>4.2建议</w:t>
          </w:r>
          <w:r>
            <w:rPr>
              <w:rFonts w:hint="eastAsia" w:ascii="仿宋" w:hAnsi="仿宋" w:eastAsia="仿宋" w:cs="仿宋"/>
              <w:sz w:val="32"/>
              <w:szCs w:val="32"/>
            </w:rPr>
            <w:tab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 PAGEREF _Toc9291 \h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ascii="仿宋" w:hAnsi="仿宋" w:eastAsia="仿宋" w:cs="仿宋"/>
              <w:sz w:val="32"/>
              <w:szCs w:val="32"/>
            </w:rPr>
            <w:t>10</w: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  <w:p>
          <w:pPr>
            <w:jc w:val="center"/>
            <w:rPr>
              <w:rFonts w:ascii="仿宋" w:hAnsi="仿宋" w:eastAsia="仿宋" w:cs="仿宋"/>
              <w:b/>
              <w:sz w:val="32"/>
              <w:szCs w:val="32"/>
            </w:rPr>
            <w:sectPr>
              <w:footerReference r:id="rId3" w:type="default"/>
              <w:pgSz w:w="11906" w:h="16838"/>
              <w:pgMar w:top="1440" w:right="1800" w:bottom="1440" w:left="1800" w:header="851" w:footer="992" w:gutter="0"/>
              <w:pgNumType w:start="1"/>
              <w:cols w:space="425" w:num="1"/>
              <w:docGrid w:type="lines" w:linePitch="312" w:charSpace="0"/>
            </w:sectPr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end"/>
          </w:r>
        </w:p>
      </w:sdtContent>
    </w:sdt>
    <w:p>
      <w:pPr>
        <w:pStyle w:val="7"/>
        <w:pageBreakBefore/>
        <w:spacing w:after="312"/>
        <w:ind w:firstLine="723"/>
        <w:outlineLvl w:val="0"/>
      </w:pPr>
      <w:bookmarkStart w:id="0" w:name="_Toc6953"/>
      <w:bookmarkStart w:id="1" w:name="_Toc30647"/>
      <w:r>
        <w:rPr>
          <w:rFonts w:hint="eastAsia"/>
        </w:rPr>
        <w:t>前   言</w:t>
      </w:r>
      <w:bookmarkEnd w:id="0"/>
      <w:bookmarkEnd w:id="1"/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2" w:name="_Toc12414"/>
      <w:bookmarkStart w:id="3" w:name="_Toc54186851"/>
      <w:r>
        <w:rPr>
          <w:rFonts w:hint="eastAsia" w:ascii="仿宋_GB2312" w:hAnsi="仿宋_GB2312" w:eastAsia="仿宋_GB2312" w:cs="仿宋_GB2312"/>
          <w:bCs/>
          <w:sz w:val="32"/>
          <w:szCs w:val="32"/>
        </w:rPr>
        <w:t>为深入贯彻落实国家关于严格保护耕地的决策部署，落实《关于上海市改革完善耕地占补平衡制度的操作细则（试行）》（沪规划资源施〔2024〕537号）等文件精神，青浦区规划和自然资源局结合本区实际，制定了《青浦区落实“耕地占补平衡制度”操作办法（试行）》。该办法旨在规范耕地占补平衡管理，保障耕地数量不减少、质量不降低，促进土地资源可持续利用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在办法颁布前，青浦区规划和自然资源局作为评估主体，对可能引发的社会稳定风险进行识别、分析，提出防范化解措施，形成本报告，供区政府及相关部门决策参考。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第1章 项目概况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1.1 评估背景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上海市自2009年起建立重大事项社会稳定风险评估机制，并于2011年通过《上海市社会治安综合治理条例》明确要求各级政府在重大决策前开展社会稳定风险分析与评估。耕地占补平衡制度涉及土地资源分配、农民权益保障等敏感问题，属于重大行政决策范畴，应当开展稳评工作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1.2 评估目的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通过对《青浦区落实“耕地占补平衡制度”操作办法（试行）》可能引发的社会稳定风险进行系统评估，识别潜在风险点，提出针对性防范化解措施，确保政策顺利实施，维护社会和谐稳定。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1.3 评估内容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识别政策实施过程中可能存在的各类社会稳定风险；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分析风险发生的可能性和影响程度；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提出风险防范和化解措施建议；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综合判断政策实施的社会稳定风险等级。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1.4 编制依据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《中华人民共和国土地管理法》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《上海市乡村振兴促进条例》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《关于上海市改革完善耕地占补平衡制度的操作细则（试行）》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《关于加强耕地保护提升耕地质量完善占补平衡的实施意见》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其他相关法律法规和政策文件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360" w:lineRule="auto"/>
        <w:ind w:firstLine="640" w:firstLineChars="200"/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第2章 风险调查及识别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2.1 风险调查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采用访谈法、问卷法、观察法等方式开展风险调查：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访谈法：与区农业农村委、各街镇负责人、村集体经济组织代表等进行座谈，了解耕地保护现状、政策执行难点及群众诉求。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观察法：实地调研耕地补划地块、建设用地占用情况，评估政策落地可行性。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2.2 风险点和风险源识别和分析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耕地补划难度大引发的风险：部分街镇耕地储备资源不足，补划难度大，可能影响项目落地，引发群众不满。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耕地质量不匹配风险：补划耕地质量等级低于被占用耕地，影响农民生产生活和粮食安全，可能引发群体性质疑。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街镇执行能力不足风险：部分街镇在耕地保护空间布局优化、预存地块管护等方面能力不足，影响政策执行效果。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信息不透明引发的舆情风险：政策执行过程中若信息不公开、不透明，易引发群众误解和网络负面舆情。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bookmarkEnd w:id="2"/>
    <w:bookmarkEnd w:id="3"/>
    <w:p>
      <w:pPr>
        <w:pStyle w:val="8"/>
        <w:outlineLvl w:val="1"/>
      </w:pPr>
      <w:bookmarkStart w:id="4" w:name="_Toc12796"/>
      <w:bookmarkStart w:id="5" w:name="_Toc4910"/>
      <w:bookmarkStart w:id="6" w:name="_Toc54186852"/>
      <w:r>
        <w:rPr>
          <w:rFonts w:hint="eastAsia"/>
        </w:rPr>
        <w:t>2.3风险等级评判</w:t>
      </w:r>
      <w:bookmarkEnd w:id="4"/>
      <w:bookmarkEnd w:id="5"/>
      <w:bookmarkEnd w:id="6"/>
    </w:p>
    <w:p>
      <w:pPr>
        <w:adjustRightInd w:val="0"/>
        <w:snapToGrid w:val="0"/>
        <w:spacing w:beforeLines="50" w:afterLines="50" w:line="560" w:lineRule="exact"/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参考《重大政策风险等级评判参考标准》，对各项风险因素进行定性评价：</w:t>
      </w:r>
    </w:p>
    <w:p>
      <w:pPr>
        <w:adjustRightInd w:val="0"/>
        <w:snapToGrid w:val="0"/>
        <w:spacing w:beforeLines="50" w:afterLines="50" w:line="560" w:lineRule="exact"/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adjustRightInd w:val="0"/>
        <w:snapToGrid w:val="0"/>
        <w:spacing w:beforeLines="50" w:afterLines="50" w:line="560" w:lineRule="exact"/>
        <w:ind w:firstLine="42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187325</wp:posOffset>
            </wp:positionV>
            <wp:extent cx="5272405" cy="2129155"/>
            <wp:effectExtent l="0" t="0" r="4445" b="4445"/>
            <wp:wrapTight wrapText="bothSides">
              <wp:wrapPolygon>
                <wp:start x="0" y="0"/>
                <wp:lineTo x="0" y="21452"/>
                <wp:lineTo x="21540" y="21452"/>
                <wp:lineTo x="21540" y="0"/>
                <wp:lineTo x="0" y="0"/>
              </wp:wrapPolygon>
            </wp:wrapTight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综合判断，本政策</w:t>
      </w:r>
      <w:r>
        <w:rPr>
          <w:rFonts w:hint="eastAsia" w:ascii="仿宋_GB2312" w:eastAsia="仿宋_GB2312"/>
          <w:snapToGrid w:val="0"/>
          <w:kern w:val="0"/>
          <w:sz w:val="32"/>
          <w:szCs w:val="28"/>
          <w:lang w:eastAsia="zh-CN"/>
        </w:rPr>
        <w:t>无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较大风险因素，</w:t>
      </w:r>
      <w:r>
        <w:rPr>
          <w:rFonts w:hint="eastAsia" w:ascii="仿宋_GB2312" w:eastAsia="仿宋_GB2312"/>
          <w:snapToGrid w:val="0"/>
          <w:kern w:val="0"/>
          <w:sz w:val="32"/>
          <w:szCs w:val="28"/>
          <w:lang w:eastAsia="zh-CN"/>
        </w:rPr>
        <w:t>为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一般风险因素，根据评判标准，风险等级为</w:t>
      </w: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C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级（</w:t>
      </w:r>
      <w:r>
        <w:rPr>
          <w:rFonts w:hint="eastAsia" w:ascii="仿宋_GB2312" w:eastAsia="仿宋_GB2312"/>
          <w:snapToGrid w:val="0"/>
          <w:kern w:val="0"/>
          <w:sz w:val="32"/>
          <w:szCs w:val="28"/>
          <w:lang w:eastAsia="zh-CN"/>
        </w:rPr>
        <w:t>低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风险）。</w:t>
      </w:r>
    </w:p>
    <w:p>
      <w:pPr>
        <w:adjustRightInd w:val="0"/>
        <w:snapToGrid w:val="0"/>
        <w:spacing w:beforeLines="50" w:afterLines="50" w:line="560" w:lineRule="exact"/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p>
      <w:pPr>
        <w:jc w:val="center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第3章 风险防范及化解</w:t>
      </w: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为有效防范和化解社会稳定风险，提出以下措施：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1、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强化统筹协调与资源保障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区规划资源局牵头，会同区农业农村委、各街镇建立联动机制，统筹耕地补划资源，确保补划数量与质量双达标。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2、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完善信息公开与公众参与机制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通过政府网站、村务公开等渠道，及时公开耕地占补信息，接受社会监督，增强政策透明度。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3、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加强街镇能力建设与培训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组织开展政策解读、技术操作培训，提升街镇在耕地保护、地块管护等方面的执行能力。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4、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建立应急响应与舆情管控机制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设立政策咨询与投诉渠道，及时回应群众关切，防范负面舆情扩散。</w:t>
      </w:r>
    </w:p>
    <w:p>
      <w:pPr>
        <w:jc w:val="center"/>
        <w:rPr>
          <w:rFonts w:hint="eastAsia" w:ascii="仿宋_GB2312" w:eastAsia="仿宋_GB2312"/>
          <w:snapToGrid w:val="0"/>
          <w:kern w:val="0"/>
          <w:sz w:val="32"/>
          <w:szCs w:val="28"/>
        </w:rPr>
      </w:pPr>
      <w:bookmarkStart w:id="7" w:name="_GoBack"/>
      <w:bookmarkEnd w:id="7"/>
      <w:r>
        <w:rPr>
          <w:rFonts w:hint="eastAsia" w:ascii="仿宋_GB2312" w:eastAsia="仿宋_GB2312"/>
          <w:snapToGrid w:val="0"/>
          <w:kern w:val="0"/>
          <w:sz w:val="32"/>
          <w:szCs w:val="28"/>
        </w:rPr>
        <w:t>第4章 结论与建议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4.1 结论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本政策在实施过程中可能面临补划难度、质量不匹配、执行能力不足等中等风险，但通过落实风险防范与化解措施，可将风险控制在可接受范围内，政策具备实施条件。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</w:rPr>
        <w:t>4.2 建议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1、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建议在政策实施初期设立试点街镇，总结经验后再全面推广；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2、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建立健全耕地占补平衡动态监测与评估机制；</w:t>
      </w:r>
    </w:p>
    <w:p>
      <w:pPr>
        <w:ind w:firstLine="640" w:firstLineChars="200"/>
        <w:rPr>
          <w:rFonts w:hint="eastAsia" w:ascii="仿宋_GB2312" w:eastAsia="仿宋_GB2312"/>
          <w:snapToGrid w:val="0"/>
          <w:kern w:val="0"/>
          <w:sz w:val="32"/>
          <w:szCs w:val="28"/>
        </w:rPr>
      </w:pPr>
      <w:r>
        <w:rPr>
          <w:rFonts w:hint="eastAsia" w:ascii="仿宋_GB2312" w:eastAsia="仿宋_GB2312"/>
          <w:snapToGrid w:val="0"/>
          <w:kern w:val="0"/>
          <w:sz w:val="32"/>
          <w:szCs w:val="28"/>
          <w:lang w:val="en-US" w:eastAsia="zh-CN"/>
        </w:rPr>
        <w:t>3、</w:t>
      </w:r>
      <w:r>
        <w:rPr>
          <w:rFonts w:hint="eastAsia" w:ascii="仿宋_GB2312" w:eastAsia="仿宋_GB2312"/>
          <w:snapToGrid w:val="0"/>
          <w:kern w:val="0"/>
          <w:sz w:val="32"/>
          <w:szCs w:val="28"/>
        </w:rPr>
        <w:t>加强对街镇的政策指导与考核，确保责任落实到位。</w:t>
      </w:r>
    </w:p>
    <w:p>
      <w:pPr>
        <w:rPr>
          <w:rFonts w:hint="eastAsia" w:ascii="仿宋_GB2312" w:eastAsia="仿宋_GB2312"/>
          <w:snapToGrid w:val="0"/>
          <w:kern w:val="0"/>
          <w:sz w:val="32"/>
          <w:szCs w:val="28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KKc1bQ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lMDE2M2I0ZjM2OTMzYjcyYjY4MDA2NDNkZjRlODkifQ=="/>
  </w:docVars>
  <w:rsids>
    <w:rsidRoot w:val="55872056"/>
    <w:rsid w:val="07C44412"/>
    <w:rsid w:val="54761449"/>
    <w:rsid w:val="5587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1"/>
    <w:basedOn w:val="1"/>
    <w:next w:val="1"/>
    <w:qFormat/>
    <w:uiPriority w:val="0"/>
  </w:style>
  <w:style w:type="paragraph" w:styleId="4">
    <w:name w:val="toc 2"/>
    <w:basedOn w:val="1"/>
    <w:next w:val="1"/>
    <w:qFormat/>
    <w:uiPriority w:val="0"/>
    <w:pPr>
      <w:ind w:left="420" w:leftChars="200"/>
    </w:pPr>
  </w:style>
  <w:style w:type="paragraph" w:customStyle="1" w:styleId="7">
    <w:name w:val="重大文件标题1"/>
    <w:basedOn w:val="1"/>
    <w:qFormat/>
    <w:uiPriority w:val="0"/>
    <w:pPr>
      <w:spacing w:afterLines="100" w:line="360" w:lineRule="auto"/>
      <w:ind w:firstLine="200" w:firstLineChars="200"/>
      <w:jc w:val="center"/>
    </w:pPr>
    <w:rPr>
      <w:rFonts w:ascii="黑体" w:hAnsi="黑体" w:eastAsia="黑体"/>
      <w:b/>
      <w:sz w:val="36"/>
      <w:szCs w:val="36"/>
    </w:rPr>
  </w:style>
  <w:style w:type="paragraph" w:customStyle="1" w:styleId="8">
    <w:name w:val="重大文件格式2"/>
    <w:basedOn w:val="1"/>
    <w:qFormat/>
    <w:uiPriority w:val="0"/>
    <w:pPr>
      <w:spacing w:line="360" w:lineRule="auto"/>
      <w:ind w:firstLine="641" w:firstLineChars="200"/>
      <w:jc w:val="left"/>
    </w:pPr>
    <w:rPr>
      <w:rFonts w:ascii="华文中宋" w:hAnsi="华文中宋" w:eastAsia="华文中宋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2023-11-14T05:26:00Z</dcterms:created>
  <dc:creator>Leyna.璐璐</dc:creator>
  <cp:lastModifiedBy>沈晓梦</cp:lastModifiedBy>
  <dcterms:modified xsi:type="dcterms:W3CDTF">2025-11-27T02:14:34Z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  <property fmtid="{D5CDD505-2E9C-101B-9397-08002B2CF9AE}" pid="3" name="ICV">
    <vt:lpwstr>D5351EA8021149BCA432E21568391059_12</vt:lpwstr>
  </property>
</Properties>
</file>