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D76A5">
      <w:pPr>
        <w:rPr>
          <w:rFonts w:ascii="Times New Roman" w:hAnsi="Times New Roman" w:eastAsia="方正小标宋简体" w:cs="Times New Roman"/>
          <w:sz w:val="44"/>
          <w:szCs w:val="44"/>
        </w:rPr>
      </w:pPr>
    </w:p>
    <w:p w14:paraId="362BBD41">
      <w:pPr>
        <w:rPr>
          <w:rFonts w:ascii="Times New Roman" w:hAnsi="Times New Roman" w:eastAsia="方正小标宋简体" w:cs="Times New Roman"/>
          <w:sz w:val="44"/>
          <w:szCs w:val="44"/>
        </w:rPr>
      </w:pPr>
    </w:p>
    <w:p w14:paraId="2E1638FA">
      <w:pPr>
        <w:rPr>
          <w:rFonts w:ascii="Times New Roman" w:hAnsi="Times New Roman" w:eastAsia="方正小标宋简体" w:cs="Times New Roman"/>
          <w:sz w:val="44"/>
          <w:szCs w:val="44"/>
        </w:rPr>
      </w:pPr>
    </w:p>
    <w:p w14:paraId="7076028D">
      <w:pPr>
        <w:jc w:val="center"/>
        <w:rPr>
          <w:rFonts w:hint="eastAsia" w:ascii="华文中宋" w:hAnsi="华文中宋" w:eastAsia="华文中宋" w:cs="Times New Roman"/>
          <w:b/>
          <w:bCs/>
          <w:sz w:val="44"/>
          <w:szCs w:val="44"/>
        </w:rPr>
      </w:pPr>
      <w:r>
        <w:rPr>
          <w:rFonts w:ascii="华文中宋" w:hAnsi="华文中宋" w:eastAsia="华文中宋" w:cs="Times New Roman"/>
          <w:b/>
          <w:bCs/>
          <w:sz w:val="44"/>
          <w:szCs w:val="44"/>
        </w:rPr>
        <w:t>青浦区卫生健康发展“十五五”规划</w:t>
      </w:r>
    </w:p>
    <w:p w14:paraId="2BB47DA0">
      <w:pPr>
        <w:jc w:val="center"/>
        <w:rPr>
          <w:rFonts w:ascii="Times New Roman" w:hAnsi="Times New Roman" w:eastAsia="楷体_GB2312" w:cs="Times New Roman"/>
          <w:sz w:val="32"/>
          <w:szCs w:val="32"/>
        </w:rPr>
      </w:pPr>
      <w:r>
        <w:rPr>
          <w:rFonts w:ascii="Times New Roman" w:hAnsi="Times New Roman" w:eastAsia="楷体_GB2312" w:cs="Times New Roman"/>
          <w:sz w:val="32"/>
          <w:szCs w:val="32"/>
        </w:rPr>
        <w:t>（</w:t>
      </w:r>
      <w:r>
        <w:rPr>
          <w:rFonts w:hint="eastAsia" w:ascii="Times New Roman" w:hAnsi="Times New Roman" w:eastAsia="楷体_GB2312" w:cs="Times New Roman"/>
          <w:sz w:val="32"/>
          <w:szCs w:val="32"/>
        </w:rPr>
        <w:t>初</w:t>
      </w:r>
      <w:r>
        <w:rPr>
          <w:rFonts w:ascii="Times New Roman" w:hAnsi="Times New Roman" w:eastAsia="楷体_GB2312" w:cs="Times New Roman"/>
          <w:sz w:val="32"/>
          <w:szCs w:val="32"/>
        </w:rPr>
        <w:t>稿）</w:t>
      </w:r>
    </w:p>
    <w:p w14:paraId="43A9E744">
      <w:pPr>
        <w:rPr>
          <w:rFonts w:ascii="Times New Roman" w:hAnsi="Times New Roman" w:cs="Times New Roman"/>
        </w:rPr>
      </w:pPr>
    </w:p>
    <w:p w14:paraId="14FFC1E0">
      <w:pPr>
        <w:rPr>
          <w:rFonts w:ascii="Times New Roman" w:hAnsi="Times New Roman" w:cs="Times New Roman"/>
        </w:rPr>
      </w:pPr>
    </w:p>
    <w:p w14:paraId="2BF60F3C">
      <w:pPr>
        <w:rPr>
          <w:rFonts w:ascii="Times New Roman" w:hAnsi="Times New Roman" w:cs="Times New Roman"/>
        </w:rPr>
      </w:pPr>
    </w:p>
    <w:p w14:paraId="6D7D4139">
      <w:pPr>
        <w:rPr>
          <w:rFonts w:ascii="Times New Roman" w:hAnsi="Times New Roman" w:cs="Times New Roman"/>
        </w:rPr>
      </w:pPr>
    </w:p>
    <w:p w14:paraId="05741F01">
      <w:pPr>
        <w:rPr>
          <w:rFonts w:ascii="Times New Roman" w:hAnsi="Times New Roman" w:cs="Times New Roman"/>
        </w:rPr>
      </w:pPr>
    </w:p>
    <w:p w14:paraId="7CECD048">
      <w:pPr>
        <w:rPr>
          <w:rFonts w:ascii="Times New Roman" w:hAnsi="Times New Roman" w:cs="Times New Roman"/>
        </w:rPr>
      </w:pPr>
    </w:p>
    <w:p w14:paraId="137C0DAA">
      <w:pPr>
        <w:rPr>
          <w:rFonts w:ascii="Times New Roman" w:hAnsi="Times New Roman" w:cs="Times New Roman"/>
        </w:rPr>
      </w:pPr>
    </w:p>
    <w:p w14:paraId="6BBB6999">
      <w:pPr>
        <w:rPr>
          <w:rFonts w:ascii="Times New Roman" w:hAnsi="Times New Roman" w:cs="Times New Roman"/>
        </w:rPr>
      </w:pPr>
    </w:p>
    <w:p w14:paraId="347A36FC">
      <w:pPr>
        <w:rPr>
          <w:rFonts w:ascii="Times New Roman" w:hAnsi="Times New Roman" w:cs="Times New Roman"/>
        </w:rPr>
      </w:pPr>
    </w:p>
    <w:p w14:paraId="3A01D5BD">
      <w:pPr>
        <w:rPr>
          <w:rFonts w:ascii="Times New Roman" w:hAnsi="Times New Roman" w:cs="Times New Roman"/>
        </w:rPr>
      </w:pPr>
    </w:p>
    <w:p w14:paraId="7C404B2C">
      <w:pPr>
        <w:rPr>
          <w:rFonts w:ascii="Times New Roman" w:hAnsi="Times New Roman" w:cs="Times New Roman"/>
        </w:rPr>
      </w:pPr>
    </w:p>
    <w:p w14:paraId="21D0868D">
      <w:pPr>
        <w:rPr>
          <w:rFonts w:ascii="Times New Roman" w:hAnsi="Times New Roman" w:cs="Times New Roman"/>
        </w:rPr>
      </w:pPr>
    </w:p>
    <w:p w14:paraId="0F713741">
      <w:pPr>
        <w:rPr>
          <w:rFonts w:ascii="Times New Roman" w:hAnsi="Times New Roman" w:cs="Times New Roman"/>
        </w:rPr>
      </w:pPr>
    </w:p>
    <w:p w14:paraId="17018EC1">
      <w:pPr>
        <w:rPr>
          <w:rFonts w:ascii="Times New Roman" w:hAnsi="Times New Roman" w:cs="Times New Roman"/>
        </w:rPr>
      </w:pPr>
    </w:p>
    <w:p w14:paraId="2BB5A9D2">
      <w:pPr>
        <w:rPr>
          <w:rFonts w:ascii="Times New Roman" w:hAnsi="Times New Roman" w:cs="Times New Roman"/>
        </w:rPr>
      </w:pPr>
    </w:p>
    <w:p w14:paraId="07499710">
      <w:pPr>
        <w:rPr>
          <w:rFonts w:ascii="Times New Roman" w:hAnsi="Times New Roman" w:cs="Times New Roman"/>
        </w:rPr>
      </w:pPr>
    </w:p>
    <w:p w14:paraId="6C391977">
      <w:pPr>
        <w:rPr>
          <w:rFonts w:ascii="Times New Roman" w:hAnsi="Times New Roman" w:cs="Times New Roman"/>
        </w:rPr>
      </w:pPr>
    </w:p>
    <w:p w14:paraId="15C79AB7">
      <w:pPr>
        <w:rPr>
          <w:rFonts w:ascii="Times New Roman" w:hAnsi="Times New Roman" w:cs="Times New Roman"/>
        </w:rPr>
      </w:pPr>
    </w:p>
    <w:p w14:paraId="33207A73">
      <w:pPr>
        <w:rPr>
          <w:rFonts w:ascii="Times New Roman" w:hAnsi="Times New Roman" w:cs="Times New Roman"/>
        </w:rPr>
      </w:pPr>
    </w:p>
    <w:p w14:paraId="27B88843">
      <w:pPr>
        <w:rPr>
          <w:rFonts w:ascii="Times New Roman" w:hAnsi="Times New Roman" w:cs="Times New Roman"/>
        </w:rPr>
      </w:pPr>
    </w:p>
    <w:p w14:paraId="072B9D3E">
      <w:pPr>
        <w:rPr>
          <w:rFonts w:ascii="Times New Roman" w:hAnsi="Times New Roman" w:cs="Times New Roman"/>
        </w:rPr>
      </w:pPr>
    </w:p>
    <w:p w14:paraId="07CC618F">
      <w:pPr>
        <w:rPr>
          <w:rFonts w:ascii="Times New Roman" w:hAnsi="Times New Roman" w:cs="Times New Roman"/>
        </w:rPr>
      </w:pPr>
    </w:p>
    <w:p w14:paraId="5A3D8E47">
      <w:pPr>
        <w:rPr>
          <w:rFonts w:ascii="Times New Roman" w:hAnsi="Times New Roman" w:cs="Times New Roman"/>
        </w:rPr>
      </w:pPr>
    </w:p>
    <w:p w14:paraId="2E11AB6E">
      <w:pPr>
        <w:rPr>
          <w:rFonts w:ascii="Times New Roman" w:hAnsi="Times New Roman" w:cs="Times New Roman"/>
        </w:rPr>
      </w:pPr>
    </w:p>
    <w:p w14:paraId="02E78180">
      <w:pPr>
        <w:rPr>
          <w:rFonts w:ascii="Times New Roman" w:hAnsi="Times New Roman" w:cs="Times New Roman"/>
        </w:rPr>
      </w:pPr>
    </w:p>
    <w:p w14:paraId="6FF5A24E">
      <w:pPr>
        <w:rPr>
          <w:rFonts w:ascii="Times New Roman" w:hAnsi="Times New Roman" w:cs="Times New Roman"/>
        </w:rPr>
      </w:pPr>
    </w:p>
    <w:p w14:paraId="02652E93">
      <w:pPr>
        <w:rPr>
          <w:rFonts w:ascii="Times New Roman" w:hAnsi="Times New Roman" w:cs="Times New Roman"/>
        </w:rPr>
      </w:pPr>
    </w:p>
    <w:p w14:paraId="2C3AE78F">
      <w:pPr>
        <w:jc w:val="center"/>
        <w:rPr>
          <w:rFonts w:ascii="Times New Roman" w:hAnsi="Times New Roman" w:eastAsia="楷体_GB2312" w:cs="Times New Roman"/>
          <w:sz w:val="32"/>
          <w:szCs w:val="32"/>
        </w:rPr>
      </w:pPr>
      <w:r>
        <w:rPr>
          <w:rFonts w:ascii="Times New Roman" w:hAnsi="Times New Roman" w:eastAsia="楷体_GB2312" w:cs="Times New Roman"/>
          <w:sz w:val="32"/>
          <w:szCs w:val="32"/>
        </w:rPr>
        <w:t>202</w:t>
      </w:r>
      <w:r>
        <w:rPr>
          <w:rFonts w:hint="eastAsia" w:ascii="Times New Roman" w:hAnsi="Times New Roman" w:eastAsia="楷体_GB2312" w:cs="Times New Roman"/>
          <w:sz w:val="32"/>
          <w:szCs w:val="32"/>
        </w:rPr>
        <w:t>6</w:t>
      </w:r>
      <w:r>
        <w:rPr>
          <w:rFonts w:ascii="Times New Roman" w:hAnsi="Times New Roman" w:eastAsia="楷体_GB2312" w:cs="Times New Roman"/>
          <w:sz w:val="32"/>
          <w:szCs w:val="32"/>
        </w:rPr>
        <w:t>年</w:t>
      </w:r>
      <w:r>
        <w:rPr>
          <w:rFonts w:hint="eastAsia" w:ascii="Times New Roman" w:hAnsi="Times New Roman" w:eastAsia="楷体_GB2312" w:cs="Times New Roman"/>
          <w:sz w:val="32"/>
          <w:szCs w:val="32"/>
        </w:rPr>
        <w:t>1</w:t>
      </w:r>
      <w:r>
        <w:rPr>
          <w:rFonts w:ascii="Times New Roman" w:hAnsi="Times New Roman" w:eastAsia="楷体_GB2312" w:cs="Times New Roman"/>
          <w:sz w:val="32"/>
          <w:szCs w:val="32"/>
        </w:rPr>
        <w:t>月</w:t>
      </w:r>
      <w:r>
        <w:rPr>
          <w:rFonts w:hint="eastAsia" w:ascii="Times New Roman" w:hAnsi="Times New Roman" w:eastAsia="楷体_GB2312" w:cs="Times New Roman"/>
          <w:sz w:val="32"/>
          <w:szCs w:val="32"/>
        </w:rPr>
        <w:t>4日</w:t>
      </w:r>
    </w:p>
    <w:p w14:paraId="3A9B9E99">
      <w:pPr>
        <w:rPr>
          <w:rFonts w:ascii="Times New Roman" w:hAnsi="Times New Roman" w:cs="Times New Roman"/>
        </w:rPr>
      </w:pPr>
    </w:p>
    <w:p w14:paraId="0CD663E5">
      <w:pPr>
        <w:rPr>
          <w:rFonts w:ascii="Times New Roman" w:hAnsi="Times New Roman" w:cs="Times New Roman"/>
        </w:rPr>
      </w:pPr>
    </w:p>
    <w:p w14:paraId="0D6DAC7D">
      <w:pPr>
        <w:widowControl/>
        <w:jc w:val="left"/>
        <w:rPr>
          <w:rFonts w:ascii="Times New Roman" w:hAnsi="Times New Roman" w:cs="Times New Roman"/>
        </w:rPr>
      </w:pPr>
      <w:r>
        <w:rPr>
          <w:rFonts w:ascii="Times New Roman" w:hAnsi="Times New Roman" w:cs="Times New Roman"/>
        </w:rPr>
        <w:br w:type="page"/>
      </w:r>
    </w:p>
    <w:sdt>
      <w:sdtPr>
        <w:rPr>
          <w:rFonts w:ascii="Times New Roman" w:hAnsi="Times New Roman" w:eastAsia="黑体" w:cs="Times New Roman"/>
          <w:color w:val="auto"/>
          <w:kern w:val="2"/>
          <w:sz w:val="21"/>
          <w:szCs w:val="22"/>
          <w:lang w:val="zh-CN"/>
        </w:rPr>
        <w:id w:val="-638342445"/>
        <w:docPartObj>
          <w:docPartGallery w:val="Table of Contents"/>
          <w:docPartUnique/>
        </w:docPartObj>
      </w:sdtPr>
      <w:sdtEndPr>
        <w:rPr>
          <w:rFonts w:ascii="Times New Roman" w:hAnsi="Times New Roman" w:eastAsia="楷体_GB2312" w:cs="Times New Roman"/>
          <w:b/>
          <w:bCs/>
          <w:color w:val="auto"/>
          <w:kern w:val="2"/>
          <w:sz w:val="28"/>
          <w:szCs w:val="28"/>
          <w:lang w:val="zh-CN"/>
        </w:rPr>
      </w:sdtEndPr>
      <w:sdtContent>
        <w:p w14:paraId="15998623">
          <w:pPr>
            <w:pStyle w:val="44"/>
            <w:jc w:val="center"/>
            <w:rPr>
              <w:rFonts w:ascii="Times New Roman" w:hAnsi="Times New Roman" w:eastAsia="黑体" w:cs="Times New Roman"/>
              <w:color w:val="auto"/>
            </w:rPr>
          </w:pPr>
          <w:r>
            <w:rPr>
              <w:rFonts w:ascii="Times New Roman" w:hAnsi="Times New Roman" w:eastAsia="黑体" w:cs="Times New Roman"/>
              <w:color w:val="auto"/>
              <w:lang w:val="zh-CN"/>
            </w:rPr>
            <w:t>目</w:t>
          </w:r>
          <w:r>
            <w:rPr>
              <w:rFonts w:hint="eastAsia" w:ascii="Times New Roman" w:hAnsi="Times New Roman" w:eastAsia="黑体" w:cs="Times New Roman"/>
              <w:color w:val="auto"/>
              <w:lang w:val="zh-CN"/>
            </w:rPr>
            <w:t xml:space="preserve"> </w:t>
          </w:r>
          <w:r>
            <w:rPr>
              <w:rFonts w:ascii="Times New Roman" w:hAnsi="Times New Roman" w:eastAsia="黑体" w:cs="Times New Roman"/>
              <w:color w:val="auto"/>
              <w:lang w:val="zh-CN"/>
            </w:rPr>
            <w:t xml:space="preserve"> 录</w:t>
          </w:r>
        </w:p>
        <w:p w14:paraId="2DA738E8">
          <w:pPr>
            <w:pStyle w:val="15"/>
            <w:tabs>
              <w:tab w:val="right" w:leader="dot" w:pos="8306"/>
              <w:tab w:val="clear" w:pos="8296"/>
            </w:tabs>
          </w:pPr>
          <w:r>
            <w:fldChar w:fldCharType="begin"/>
          </w:r>
          <w:r>
            <w:instrText xml:space="preserve"> TOC \o "1-2" \h \z \u </w:instrText>
          </w:r>
          <w:r>
            <w:fldChar w:fldCharType="separate"/>
          </w:r>
          <w:r>
            <w:fldChar w:fldCharType="begin"/>
          </w:r>
          <w:r>
            <w:instrText xml:space="preserve"> HYPERLINK \l "_Toc12816" </w:instrText>
          </w:r>
          <w:r>
            <w:fldChar w:fldCharType="separate"/>
          </w:r>
          <w:r>
            <w:t>一、发展基础</w:t>
          </w:r>
          <w:r>
            <w:tab/>
          </w:r>
          <w:r>
            <w:fldChar w:fldCharType="begin"/>
          </w:r>
          <w:r>
            <w:instrText xml:space="preserve"> PAGEREF _Toc12816 \h </w:instrText>
          </w:r>
          <w:r>
            <w:fldChar w:fldCharType="separate"/>
          </w:r>
          <w:r>
            <w:t>1</w:t>
          </w:r>
          <w:r>
            <w:fldChar w:fldCharType="end"/>
          </w:r>
          <w:r>
            <w:fldChar w:fldCharType="end"/>
          </w:r>
        </w:p>
        <w:p w14:paraId="4546090D">
          <w:pPr>
            <w:pStyle w:val="17"/>
            <w:tabs>
              <w:tab w:val="right" w:leader="dot" w:pos="8306"/>
              <w:tab w:val="clear" w:pos="8296"/>
            </w:tabs>
          </w:pPr>
          <w:r>
            <w:fldChar w:fldCharType="begin"/>
          </w:r>
          <w:r>
            <w:instrText xml:space="preserve"> HYPERLINK \l "_Toc18743" </w:instrText>
          </w:r>
          <w:r>
            <w:fldChar w:fldCharType="separate"/>
          </w:r>
          <w:r>
            <w:t>（一）医疗服务水平持续提升</w:t>
          </w:r>
          <w:r>
            <w:tab/>
          </w:r>
          <w:r>
            <w:fldChar w:fldCharType="begin"/>
          </w:r>
          <w:r>
            <w:instrText xml:space="preserve"> PAGEREF _Toc18743 \h </w:instrText>
          </w:r>
          <w:r>
            <w:fldChar w:fldCharType="separate"/>
          </w:r>
          <w:r>
            <w:t>1</w:t>
          </w:r>
          <w:r>
            <w:fldChar w:fldCharType="end"/>
          </w:r>
          <w:r>
            <w:fldChar w:fldCharType="end"/>
          </w:r>
        </w:p>
        <w:p w14:paraId="2C633D46">
          <w:pPr>
            <w:pStyle w:val="17"/>
            <w:tabs>
              <w:tab w:val="right" w:leader="dot" w:pos="8306"/>
              <w:tab w:val="clear" w:pos="8296"/>
            </w:tabs>
          </w:pPr>
          <w:r>
            <w:fldChar w:fldCharType="begin"/>
          </w:r>
          <w:r>
            <w:instrText xml:space="preserve"> HYPERLINK \l "_Toc12883" </w:instrText>
          </w:r>
          <w:r>
            <w:fldChar w:fldCharType="separate"/>
          </w:r>
          <w:r>
            <w:t>（二）公共卫生服务能力不断提高</w:t>
          </w:r>
          <w:r>
            <w:tab/>
          </w:r>
          <w:r>
            <w:fldChar w:fldCharType="begin"/>
          </w:r>
          <w:r>
            <w:instrText xml:space="preserve"> PAGEREF _Toc12883 \h </w:instrText>
          </w:r>
          <w:r>
            <w:fldChar w:fldCharType="separate"/>
          </w:r>
          <w:r>
            <w:t>3</w:t>
          </w:r>
          <w:r>
            <w:fldChar w:fldCharType="end"/>
          </w:r>
          <w:r>
            <w:fldChar w:fldCharType="end"/>
          </w:r>
        </w:p>
        <w:p w14:paraId="23558B6B">
          <w:pPr>
            <w:pStyle w:val="17"/>
            <w:tabs>
              <w:tab w:val="right" w:leader="dot" w:pos="8306"/>
              <w:tab w:val="clear" w:pos="8296"/>
            </w:tabs>
          </w:pPr>
          <w:r>
            <w:fldChar w:fldCharType="begin"/>
          </w:r>
          <w:r>
            <w:instrText xml:space="preserve"> HYPERLINK \l "_Toc8442" </w:instrText>
          </w:r>
          <w:r>
            <w:fldChar w:fldCharType="separate"/>
          </w:r>
          <w:r>
            <w:t>（三）示范区卫生健康一体化有序推进</w:t>
          </w:r>
          <w:r>
            <w:tab/>
          </w:r>
          <w:r>
            <w:fldChar w:fldCharType="begin"/>
          </w:r>
          <w:r>
            <w:instrText xml:space="preserve"> PAGEREF _Toc8442 \h </w:instrText>
          </w:r>
          <w:r>
            <w:fldChar w:fldCharType="separate"/>
          </w:r>
          <w:r>
            <w:t>5</w:t>
          </w:r>
          <w:r>
            <w:fldChar w:fldCharType="end"/>
          </w:r>
          <w:r>
            <w:fldChar w:fldCharType="end"/>
          </w:r>
        </w:p>
        <w:p w14:paraId="495D9BA7">
          <w:pPr>
            <w:pStyle w:val="17"/>
            <w:tabs>
              <w:tab w:val="right" w:leader="dot" w:pos="8306"/>
              <w:tab w:val="clear" w:pos="8296"/>
            </w:tabs>
          </w:pPr>
          <w:r>
            <w:fldChar w:fldCharType="begin"/>
          </w:r>
          <w:r>
            <w:instrText xml:space="preserve"> HYPERLINK \l "_Toc30211" </w:instrText>
          </w:r>
          <w:r>
            <w:fldChar w:fldCharType="separate"/>
          </w:r>
          <w:r>
            <w:t>（四）卫生健康配套支撑更加夯实</w:t>
          </w:r>
          <w:r>
            <w:tab/>
          </w:r>
          <w:r>
            <w:fldChar w:fldCharType="begin"/>
          </w:r>
          <w:r>
            <w:instrText xml:space="preserve"> PAGEREF _Toc30211 \h </w:instrText>
          </w:r>
          <w:r>
            <w:fldChar w:fldCharType="separate"/>
          </w:r>
          <w:r>
            <w:t>6</w:t>
          </w:r>
          <w:r>
            <w:fldChar w:fldCharType="end"/>
          </w:r>
          <w:r>
            <w:fldChar w:fldCharType="end"/>
          </w:r>
        </w:p>
        <w:p w14:paraId="4C2E938A">
          <w:pPr>
            <w:pStyle w:val="17"/>
            <w:tabs>
              <w:tab w:val="right" w:leader="dot" w:pos="8306"/>
              <w:tab w:val="clear" w:pos="8296"/>
            </w:tabs>
          </w:pPr>
          <w:r>
            <w:fldChar w:fldCharType="begin"/>
          </w:r>
          <w:r>
            <w:instrText xml:space="preserve"> HYPERLINK \l "_Toc30490" </w:instrText>
          </w:r>
          <w:r>
            <w:fldChar w:fldCharType="separate"/>
          </w:r>
          <w:r>
            <w:t>（五）卫生健康治理现代化水平稳步提升</w:t>
          </w:r>
          <w:r>
            <w:tab/>
          </w:r>
          <w:r>
            <w:fldChar w:fldCharType="begin"/>
          </w:r>
          <w:r>
            <w:instrText xml:space="preserve"> PAGEREF _Toc30490 \h </w:instrText>
          </w:r>
          <w:r>
            <w:fldChar w:fldCharType="separate"/>
          </w:r>
          <w:r>
            <w:t>7</w:t>
          </w:r>
          <w:r>
            <w:fldChar w:fldCharType="end"/>
          </w:r>
          <w:r>
            <w:fldChar w:fldCharType="end"/>
          </w:r>
        </w:p>
        <w:p w14:paraId="2F3CFC12">
          <w:pPr>
            <w:pStyle w:val="15"/>
            <w:tabs>
              <w:tab w:val="right" w:leader="dot" w:pos="8306"/>
              <w:tab w:val="clear" w:pos="8296"/>
            </w:tabs>
          </w:pPr>
          <w:r>
            <w:fldChar w:fldCharType="begin"/>
          </w:r>
          <w:r>
            <w:instrText xml:space="preserve"> HYPERLINK \l "_Toc2477" </w:instrText>
          </w:r>
          <w:r>
            <w:fldChar w:fldCharType="separate"/>
          </w:r>
          <w:r>
            <w:t>二、面临形势</w:t>
          </w:r>
          <w:r>
            <w:tab/>
          </w:r>
          <w:r>
            <w:fldChar w:fldCharType="begin"/>
          </w:r>
          <w:r>
            <w:instrText xml:space="preserve"> PAGEREF _Toc2477 \h </w:instrText>
          </w:r>
          <w:r>
            <w:fldChar w:fldCharType="separate"/>
          </w:r>
          <w:r>
            <w:t>8</w:t>
          </w:r>
          <w:r>
            <w:fldChar w:fldCharType="end"/>
          </w:r>
          <w:r>
            <w:fldChar w:fldCharType="end"/>
          </w:r>
        </w:p>
        <w:p w14:paraId="6D68F1B2">
          <w:pPr>
            <w:pStyle w:val="17"/>
            <w:tabs>
              <w:tab w:val="right" w:leader="dot" w:pos="8306"/>
              <w:tab w:val="clear" w:pos="8296"/>
            </w:tabs>
          </w:pPr>
          <w:r>
            <w:fldChar w:fldCharType="begin"/>
          </w:r>
          <w:r>
            <w:instrText xml:space="preserve"> HYPERLINK \l "_Toc3358" </w:instrText>
          </w:r>
          <w:r>
            <w:fldChar w:fldCharType="separate"/>
          </w:r>
          <w:r>
            <w:t>（一）经济和人口等新发展阶段对卫生健康工作提出新要求</w:t>
          </w:r>
          <w:r>
            <w:tab/>
          </w:r>
          <w:r>
            <w:fldChar w:fldCharType="begin"/>
          </w:r>
          <w:r>
            <w:instrText xml:space="preserve"> PAGEREF _Toc3358 \h </w:instrText>
          </w:r>
          <w:r>
            <w:fldChar w:fldCharType="separate"/>
          </w:r>
          <w:r>
            <w:t>8</w:t>
          </w:r>
          <w:r>
            <w:fldChar w:fldCharType="end"/>
          </w:r>
          <w:r>
            <w:fldChar w:fldCharType="end"/>
          </w:r>
        </w:p>
        <w:p w14:paraId="5153F2D5">
          <w:pPr>
            <w:pStyle w:val="17"/>
            <w:tabs>
              <w:tab w:val="right" w:leader="dot" w:pos="8306"/>
              <w:tab w:val="clear" w:pos="8296"/>
            </w:tabs>
          </w:pPr>
          <w:r>
            <w:fldChar w:fldCharType="begin"/>
          </w:r>
          <w:r>
            <w:instrText xml:space="preserve"> HYPERLINK \l "_Toc6974" </w:instrText>
          </w:r>
          <w:r>
            <w:fldChar w:fldCharType="separate"/>
          </w:r>
          <w:r>
            <w:t>（二）多重战略和重大项目叠加为卫生健康发展带来新机遇</w:t>
          </w:r>
          <w:r>
            <w:tab/>
          </w:r>
          <w:r>
            <w:fldChar w:fldCharType="begin"/>
          </w:r>
          <w:r>
            <w:instrText xml:space="preserve"> PAGEREF _Toc6974 \h </w:instrText>
          </w:r>
          <w:r>
            <w:fldChar w:fldCharType="separate"/>
          </w:r>
          <w:r>
            <w:t>8</w:t>
          </w:r>
          <w:r>
            <w:fldChar w:fldCharType="end"/>
          </w:r>
          <w:r>
            <w:fldChar w:fldCharType="end"/>
          </w:r>
        </w:p>
        <w:p w14:paraId="55085479">
          <w:pPr>
            <w:pStyle w:val="17"/>
            <w:tabs>
              <w:tab w:val="right" w:leader="dot" w:pos="8306"/>
              <w:tab w:val="clear" w:pos="8296"/>
            </w:tabs>
          </w:pPr>
          <w:r>
            <w:fldChar w:fldCharType="begin"/>
          </w:r>
          <w:r>
            <w:instrText xml:space="preserve"> HYPERLINK \l "_Toc2486" </w:instrText>
          </w:r>
          <w:r>
            <w:fldChar w:fldCharType="separate"/>
          </w:r>
          <w:r>
            <w:t>（三）外部不确定性风险对卫生健康发出新挑战</w:t>
          </w:r>
          <w:r>
            <w:tab/>
          </w:r>
          <w:r>
            <w:fldChar w:fldCharType="begin"/>
          </w:r>
          <w:r>
            <w:instrText xml:space="preserve"> PAGEREF _Toc2486 \h </w:instrText>
          </w:r>
          <w:r>
            <w:fldChar w:fldCharType="separate"/>
          </w:r>
          <w:r>
            <w:t>9</w:t>
          </w:r>
          <w:r>
            <w:fldChar w:fldCharType="end"/>
          </w:r>
          <w:r>
            <w:fldChar w:fldCharType="end"/>
          </w:r>
        </w:p>
        <w:p w14:paraId="17DF8250">
          <w:pPr>
            <w:pStyle w:val="17"/>
            <w:tabs>
              <w:tab w:val="right" w:leader="dot" w:pos="8306"/>
              <w:tab w:val="clear" w:pos="8296"/>
            </w:tabs>
          </w:pPr>
          <w:r>
            <w:fldChar w:fldCharType="begin"/>
          </w:r>
          <w:r>
            <w:instrText xml:space="preserve"> HYPERLINK \l "_Toc3382" </w:instrText>
          </w:r>
          <w:r>
            <w:fldChar w:fldCharType="separate"/>
          </w:r>
          <w:r>
            <w:t>（四）新质生产力发展深刻影响服务治理范式</w:t>
          </w:r>
          <w:r>
            <w:tab/>
          </w:r>
          <w:r>
            <w:fldChar w:fldCharType="begin"/>
          </w:r>
          <w:r>
            <w:instrText xml:space="preserve"> PAGEREF _Toc3382 \h </w:instrText>
          </w:r>
          <w:r>
            <w:fldChar w:fldCharType="separate"/>
          </w:r>
          <w:r>
            <w:t>9</w:t>
          </w:r>
          <w:r>
            <w:fldChar w:fldCharType="end"/>
          </w:r>
          <w:r>
            <w:fldChar w:fldCharType="end"/>
          </w:r>
        </w:p>
        <w:p w14:paraId="5C6CDFE4">
          <w:pPr>
            <w:pStyle w:val="15"/>
            <w:tabs>
              <w:tab w:val="right" w:leader="dot" w:pos="8306"/>
              <w:tab w:val="clear" w:pos="8296"/>
            </w:tabs>
          </w:pPr>
          <w:r>
            <w:fldChar w:fldCharType="begin"/>
          </w:r>
          <w:r>
            <w:instrText xml:space="preserve"> HYPERLINK \l "_Toc2475" </w:instrText>
          </w:r>
          <w:r>
            <w:fldChar w:fldCharType="separate"/>
          </w:r>
          <w:r>
            <w:t>三、总体要求</w:t>
          </w:r>
          <w:r>
            <w:tab/>
          </w:r>
          <w:r>
            <w:fldChar w:fldCharType="begin"/>
          </w:r>
          <w:r>
            <w:instrText xml:space="preserve"> PAGEREF _Toc2475 \h </w:instrText>
          </w:r>
          <w:r>
            <w:fldChar w:fldCharType="separate"/>
          </w:r>
          <w:r>
            <w:t>10</w:t>
          </w:r>
          <w:r>
            <w:fldChar w:fldCharType="end"/>
          </w:r>
          <w:r>
            <w:fldChar w:fldCharType="end"/>
          </w:r>
        </w:p>
        <w:p w14:paraId="29DB56DA">
          <w:pPr>
            <w:pStyle w:val="17"/>
            <w:tabs>
              <w:tab w:val="right" w:leader="dot" w:pos="8306"/>
              <w:tab w:val="clear" w:pos="8296"/>
            </w:tabs>
          </w:pPr>
          <w:r>
            <w:fldChar w:fldCharType="begin"/>
          </w:r>
          <w:r>
            <w:instrText xml:space="preserve"> HYPERLINK \l "_Toc25695" </w:instrText>
          </w:r>
          <w:r>
            <w:fldChar w:fldCharType="separate"/>
          </w:r>
          <w:r>
            <w:t>（一）指导</w:t>
          </w:r>
          <w:r>
            <w:rPr>
              <w:rFonts w:hint="eastAsia"/>
            </w:rPr>
            <w:t>思想</w:t>
          </w:r>
          <w:r>
            <w:tab/>
          </w:r>
          <w:r>
            <w:fldChar w:fldCharType="begin"/>
          </w:r>
          <w:r>
            <w:instrText xml:space="preserve"> PAGEREF _Toc25695 \h </w:instrText>
          </w:r>
          <w:r>
            <w:fldChar w:fldCharType="separate"/>
          </w:r>
          <w:r>
            <w:t>10</w:t>
          </w:r>
          <w:r>
            <w:fldChar w:fldCharType="end"/>
          </w:r>
          <w:r>
            <w:fldChar w:fldCharType="end"/>
          </w:r>
        </w:p>
        <w:p w14:paraId="23DDD0EA">
          <w:pPr>
            <w:pStyle w:val="17"/>
            <w:tabs>
              <w:tab w:val="right" w:leader="dot" w:pos="8306"/>
              <w:tab w:val="clear" w:pos="8296"/>
            </w:tabs>
          </w:pPr>
          <w:r>
            <w:fldChar w:fldCharType="begin"/>
          </w:r>
          <w:r>
            <w:instrText xml:space="preserve"> HYPERLINK \l "_Toc30012" </w:instrText>
          </w:r>
          <w:r>
            <w:fldChar w:fldCharType="separate"/>
          </w:r>
          <w:r>
            <w:t>（二）基本原则</w:t>
          </w:r>
          <w:r>
            <w:tab/>
          </w:r>
          <w:r>
            <w:fldChar w:fldCharType="begin"/>
          </w:r>
          <w:r>
            <w:instrText xml:space="preserve"> PAGEREF _Toc30012 \h </w:instrText>
          </w:r>
          <w:r>
            <w:fldChar w:fldCharType="separate"/>
          </w:r>
          <w:r>
            <w:t>11</w:t>
          </w:r>
          <w:r>
            <w:fldChar w:fldCharType="end"/>
          </w:r>
          <w:r>
            <w:fldChar w:fldCharType="end"/>
          </w:r>
        </w:p>
        <w:p w14:paraId="1F25D904">
          <w:pPr>
            <w:pStyle w:val="17"/>
            <w:tabs>
              <w:tab w:val="right" w:leader="dot" w:pos="8306"/>
              <w:tab w:val="clear" w:pos="8296"/>
            </w:tabs>
          </w:pPr>
          <w:r>
            <w:fldChar w:fldCharType="begin"/>
          </w:r>
          <w:r>
            <w:instrText xml:space="preserve"> HYPERLINK \l "_Toc27692" </w:instrText>
          </w:r>
          <w:r>
            <w:fldChar w:fldCharType="separate"/>
          </w:r>
          <w:r>
            <w:t>（三）发展目标</w:t>
          </w:r>
          <w:r>
            <w:tab/>
          </w:r>
          <w:r>
            <w:fldChar w:fldCharType="begin"/>
          </w:r>
          <w:r>
            <w:instrText xml:space="preserve"> PAGEREF _Toc27692 \h </w:instrText>
          </w:r>
          <w:r>
            <w:fldChar w:fldCharType="separate"/>
          </w:r>
          <w:r>
            <w:t>12</w:t>
          </w:r>
          <w:r>
            <w:fldChar w:fldCharType="end"/>
          </w:r>
          <w:r>
            <w:fldChar w:fldCharType="end"/>
          </w:r>
        </w:p>
        <w:p w14:paraId="5C57FAB2">
          <w:pPr>
            <w:pStyle w:val="15"/>
            <w:tabs>
              <w:tab w:val="right" w:leader="dot" w:pos="8306"/>
              <w:tab w:val="clear" w:pos="8296"/>
            </w:tabs>
          </w:pPr>
          <w:r>
            <w:fldChar w:fldCharType="begin"/>
          </w:r>
          <w:r>
            <w:instrText xml:space="preserve"> HYPERLINK \l "_Toc9591" </w:instrText>
          </w:r>
          <w:r>
            <w:fldChar w:fldCharType="separate"/>
          </w:r>
          <w:r>
            <w:t>四、主要任务</w:t>
          </w:r>
          <w:r>
            <w:tab/>
          </w:r>
          <w:r>
            <w:fldChar w:fldCharType="begin"/>
          </w:r>
          <w:r>
            <w:instrText xml:space="preserve"> PAGEREF _Toc9591 \h </w:instrText>
          </w:r>
          <w:r>
            <w:fldChar w:fldCharType="separate"/>
          </w:r>
          <w:r>
            <w:t>13</w:t>
          </w:r>
          <w:r>
            <w:fldChar w:fldCharType="end"/>
          </w:r>
          <w:r>
            <w:fldChar w:fldCharType="end"/>
          </w:r>
        </w:p>
        <w:p w14:paraId="67978198">
          <w:pPr>
            <w:pStyle w:val="17"/>
            <w:tabs>
              <w:tab w:val="right" w:leader="dot" w:pos="8306"/>
              <w:tab w:val="clear" w:pos="8296"/>
            </w:tabs>
          </w:pPr>
          <w:r>
            <w:fldChar w:fldCharType="begin"/>
          </w:r>
          <w:r>
            <w:instrText xml:space="preserve"> HYPERLINK \l "_Toc3891" </w:instrText>
          </w:r>
          <w:r>
            <w:fldChar w:fldCharType="separate"/>
          </w:r>
          <w:r>
            <w:rPr>
              <w:rFonts w:hint="eastAsia"/>
            </w:rPr>
            <w:t>（一）施战略、做样板，坚持健康优先持续深化健康青浦建设</w:t>
          </w:r>
          <w:r>
            <w:tab/>
          </w:r>
          <w:r>
            <w:fldChar w:fldCharType="begin"/>
          </w:r>
          <w:r>
            <w:instrText xml:space="preserve"> PAGEREF _Toc3891 \h </w:instrText>
          </w:r>
          <w:r>
            <w:fldChar w:fldCharType="separate"/>
          </w:r>
          <w:r>
            <w:t>13</w:t>
          </w:r>
          <w:r>
            <w:fldChar w:fldCharType="end"/>
          </w:r>
          <w:r>
            <w:fldChar w:fldCharType="end"/>
          </w:r>
        </w:p>
        <w:p w14:paraId="7C6BFB81">
          <w:pPr>
            <w:pStyle w:val="17"/>
            <w:tabs>
              <w:tab w:val="right" w:leader="dot" w:pos="8306"/>
              <w:tab w:val="clear" w:pos="8296"/>
            </w:tabs>
          </w:pPr>
          <w:r>
            <w:fldChar w:fldCharType="begin"/>
          </w:r>
          <w:r>
            <w:instrText xml:space="preserve"> HYPERLINK \l "_Toc340" </w:instrText>
          </w:r>
          <w:r>
            <w:fldChar w:fldCharType="separate"/>
          </w:r>
          <w:r>
            <w:t>（</w:t>
          </w:r>
          <w:r>
            <w:rPr>
              <w:rFonts w:hint="eastAsia"/>
            </w:rPr>
            <w:t>二</w:t>
          </w:r>
          <w:r>
            <w:t>）优布局</w:t>
          </w:r>
          <w:r>
            <w:rPr>
              <w:rFonts w:hint="eastAsia"/>
            </w:rPr>
            <w:t>、</w:t>
          </w:r>
          <w:r>
            <w:t>提品质，完善连续整合的现代化医疗服务体系</w:t>
          </w:r>
          <w:r>
            <w:tab/>
          </w:r>
          <w:r>
            <w:fldChar w:fldCharType="begin"/>
          </w:r>
          <w:r>
            <w:instrText xml:space="preserve"> PAGEREF _Toc340 \h </w:instrText>
          </w:r>
          <w:r>
            <w:fldChar w:fldCharType="separate"/>
          </w:r>
          <w:r>
            <w:t>16</w:t>
          </w:r>
          <w:r>
            <w:fldChar w:fldCharType="end"/>
          </w:r>
          <w:r>
            <w:fldChar w:fldCharType="end"/>
          </w:r>
        </w:p>
        <w:p w14:paraId="20D226AC">
          <w:pPr>
            <w:pStyle w:val="17"/>
            <w:tabs>
              <w:tab w:val="right" w:leader="dot" w:pos="8306"/>
              <w:tab w:val="clear" w:pos="8296"/>
            </w:tabs>
          </w:pPr>
          <w:r>
            <w:fldChar w:fldCharType="begin"/>
          </w:r>
          <w:r>
            <w:instrText xml:space="preserve"> HYPERLINK \l "_Toc3171" </w:instrText>
          </w:r>
          <w:r>
            <w:fldChar w:fldCharType="separate"/>
          </w:r>
          <w:r>
            <w:t>（</w:t>
          </w:r>
          <w:r>
            <w:rPr>
              <w:rFonts w:hint="eastAsia"/>
            </w:rPr>
            <w:t>三</w:t>
          </w:r>
          <w:r>
            <w:t>）固根基</w:t>
          </w:r>
          <w:r>
            <w:rPr>
              <w:rFonts w:hint="eastAsia"/>
            </w:rPr>
            <w:t>、</w:t>
          </w:r>
          <w:r>
            <w:t>升能级，打造与区域定位相匹配的韧性健康城</w:t>
          </w:r>
          <w:r>
            <w:rPr>
              <w:rFonts w:hint="eastAsia"/>
            </w:rPr>
            <w:t>区</w:t>
          </w:r>
          <w:r>
            <w:tab/>
          </w:r>
          <w:r>
            <w:fldChar w:fldCharType="begin"/>
          </w:r>
          <w:r>
            <w:instrText xml:space="preserve"> PAGEREF _Toc3171 \h </w:instrText>
          </w:r>
          <w:r>
            <w:fldChar w:fldCharType="separate"/>
          </w:r>
          <w:r>
            <w:t>19</w:t>
          </w:r>
          <w:r>
            <w:fldChar w:fldCharType="end"/>
          </w:r>
          <w:r>
            <w:fldChar w:fldCharType="end"/>
          </w:r>
        </w:p>
        <w:p w14:paraId="2D2E0ED2">
          <w:pPr>
            <w:pStyle w:val="17"/>
            <w:tabs>
              <w:tab w:val="right" w:leader="dot" w:pos="8306"/>
              <w:tab w:val="clear" w:pos="8296"/>
            </w:tabs>
          </w:pPr>
          <w:r>
            <w:fldChar w:fldCharType="begin"/>
          </w:r>
          <w:r>
            <w:instrText xml:space="preserve"> HYPERLINK \l "_Toc14483" </w:instrText>
          </w:r>
          <w:r>
            <w:fldChar w:fldCharType="separate"/>
          </w:r>
          <w:r>
            <w:t>（</w:t>
          </w:r>
          <w:r>
            <w:rPr>
              <w:rFonts w:hint="eastAsia"/>
            </w:rPr>
            <w:t>四</w:t>
          </w:r>
          <w:r>
            <w:t>）强联动</w:t>
          </w:r>
          <w:r>
            <w:rPr>
              <w:rFonts w:hint="eastAsia"/>
            </w:rPr>
            <w:t>、拓</w:t>
          </w:r>
          <w:r>
            <w:t>开放，服务支撑长三角一体化示范区高质量发展</w:t>
          </w:r>
          <w:r>
            <w:tab/>
          </w:r>
          <w:r>
            <w:fldChar w:fldCharType="begin"/>
          </w:r>
          <w:r>
            <w:instrText xml:space="preserve"> PAGEREF _Toc14483 \h </w:instrText>
          </w:r>
          <w:r>
            <w:fldChar w:fldCharType="separate"/>
          </w:r>
          <w:r>
            <w:t>21</w:t>
          </w:r>
          <w:r>
            <w:fldChar w:fldCharType="end"/>
          </w:r>
          <w:r>
            <w:fldChar w:fldCharType="end"/>
          </w:r>
        </w:p>
        <w:p w14:paraId="68B61C05">
          <w:pPr>
            <w:pStyle w:val="17"/>
            <w:tabs>
              <w:tab w:val="right" w:leader="dot" w:pos="8306"/>
              <w:tab w:val="clear" w:pos="8296"/>
            </w:tabs>
          </w:pPr>
          <w:r>
            <w:fldChar w:fldCharType="begin"/>
          </w:r>
          <w:r>
            <w:instrText xml:space="preserve"> HYPERLINK \l "_Toc14042" </w:instrText>
          </w:r>
          <w:r>
            <w:fldChar w:fldCharType="separate"/>
          </w:r>
          <w:r>
            <w:t>（</w:t>
          </w:r>
          <w:r>
            <w:rPr>
              <w:rFonts w:hint="eastAsia"/>
            </w:rPr>
            <w:t>五</w:t>
          </w:r>
          <w:r>
            <w:t>）</w:t>
          </w:r>
          <w:r>
            <w:rPr>
              <w:rFonts w:hint="eastAsia"/>
            </w:rPr>
            <w:t>育人才、</w:t>
          </w:r>
          <w:r>
            <w:t>促创新，培育</w:t>
          </w:r>
          <w:r>
            <w:rPr>
              <w:rFonts w:hint="eastAsia"/>
            </w:rPr>
            <w:t>发展卫生健康</w:t>
          </w:r>
          <w:r>
            <w:t>新质生产力</w:t>
          </w:r>
          <w:r>
            <w:tab/>
          </w:r>
          <w:r>
            <w:fldChar w:fldCharType="begin"/>
          </w:r>
          <w:r>
            <w:instrText xml:space="preserve"> PAGEREF _Toc14042 \h </w:instrText>
          </w:r>
          <w:r>
            <w:fldChar w:fldCharType="separate"/>
          </w:r>
          <w:r>
            <w:t>22</w:t>
          </w:r>
          <w:r>
            <w:fldChar w:fldCharType="end"/>
          </w:r>
          <w:r>
            <w:fldChar w:fldCharType="end"/>
          </w:r>
        </w:p>
        <w:p w14:paraId="378F81EF">
          <w:pPr>
            <w:pStyle w:val="17"/>
            <w:tabs>
              <w:tab w:val="right" w:leader="dot" w:pos="8306"/>
              <w:tab w:val="clear" w:pos="8296"/>
            </w:tabs>
          </w:pPr>
          <w:r>
            <w:fldChar w:fldCharType="begin"/>
          </w:r>
          <w:r>
            <w:instrText xml:space="preserve"> HYPERLINK \l "_Toc12979" </w:instrText>
          </w:r>
          <w:r>
            <w:fldChar w:fldCharType="separate"/>
          </w:r>
          <w:r>
            <w:t>（</w:t>
          </w:r>
          <w:r>
            <w:rPr>
              <w:rFonts w:hint="eastAsia"/>
            </w:rPr>
            <w:t>六</w:t>
          </w:r>
          <w:r>
            <w:t>）优机制</w:t>
          </w:r>
          <w:r>
            <w:rPr>
              <w:rFonts w:hint="eastAsia"/>
            </w:rPr>
            <w:t>、精管理</w:t>
          </w:r>
          <w:r>
            <w:t>，完善卫生健康</w:t>
          </w:r>
          <w:r>
            <w:rPr>
              <w:rFonts w:hint="eastAsia"/>
            </w:rPr>
            <w:t>高效能</w:t>
          </w:r>
          <w:r>
            <w:t>治理体系</w:t>
          </w:r>
          <w:r>
            <w:tab/>
          </w:r>
          <w:r>
            <w:fldChar w:fldCharType="begin"/>
          </w:r>
          <w:r>
            <w:instrText xml:space="preserve"> PAGEREF _Toc12979 \h </w:instrText>
          </w:r>
          <w:r>
            <w:fldChar w:fldCharType="separate"/>
          </w:r>
          <w:r>
            <w:t>24</w:t>
          </w:r>
          <w:r>
            <w:fldChar w:fldCharType="end"/>
          </w:r>
          <w:r>
            <w:fldChar w:fldCharType="end"/>
          </w:r>
        </w:p>
        <w:p w14:paraId="598B93A8">
          <w:pPr>
            <w:pStyle w:val="15"/>
            <w:tabs>
              <w:tab w:val="right" w:leader="dot" w:pos="8306"/>
              <w:tab w:val="clear" w:pos="8296"/>
            </w:tabs>
          </w:pPr>
          <w:r>
            <w:fldChar w:fldCharType="begin"/>
          </w:r>
          <w:r>
            <w:instrText xml:space="preserve"> HYPERLINK \l "_Toc7565" </w:instrText>
          </w:r>
          <w:r>
            <w:fldChar w:fldCharType="separate"/>
          </w:r>
          <w:r>
            <w:t>五、保障措施</w:t>
          </w:r>
          <w:r>
            <w:tab/>
          </w:r>
          <w:r>
            <w:fldChar w:fldCharType="begin"/>
          </w:r>
          <w:r>
            <w:instrText xml:space="preserve"> PAGEREF _Toc7565 \h </w:instrText>
          </w:r>
          <w:r>
            <w:fldChar w:fldCharType="separate"/>
          </w:r>
          <w:r>
            <w:t>25</w:t>
          </w:r>
          <w:r>
            <w:fldChar w:fldCharType="end"/>
          </w:r>
          <w:r>
            <w:fldChar w:fldCharType="end"/>
          </w:r>
        </w:p>
        <w:p w14:paraId="6B29817D">
          <w:pPr>
            <w:pStyle w:val="17"/>
            <w:tabs>
              <w:tab w:val="right" w:leader="dot" w:pos="8306"/>
              <w:tab w:val="clear" w:pos="8296"/>
            </w:tabs>
          </w:pPr>
          <w:r>
            <w:fldChar w:fldCharType="begin"/>
          </w:r>
          <w:r>
            <w:instrText xml:space="preserve"> HYPERLINK \l "_Toc14973" </w:instrText>
          </w:r>
          <w:r>
            <w:fldChar w:fldCharType="separate"/>
          </w:r>
          <w:r>
            <w:t>（一）加强组织领导</w:t>
          </w:r>
          <w:r>
            <w:tab/>
          </w:r>
          <w:r>
            <w:fldChar w:fldCharType="begin"/>
          </w:r>
          <w:r>
            <w:instrText xml:space="preserve"> PAGEREF _Toc14973 \h </w:instrText>
          </w:r>
          <w:r>
            <w:fldChar w:fldCharType="separate"/>
          </w:r>
          <w:r>
            <w:t>25</w:t>
          </w:r>
          <w:r>
            <w:fldChar w:fldCharType="end"/>
          </w:r>
          <w:r>
            <w:fldChar w:fldCharType="end"/>
          </w:r>
        </w:p>
        <w:p w14:paraId="2F981213">
          <w:pPr>
            <w:pStyle w:val="17"/>
            <w:tabs>
              <w:tab w:val="right" w:leader="dot" w:pos="8306"/>
              <w:tab w:val="clear" w:pos="8296"/>
            </w:tabs>
          </w:pPr>
          <w:r>
            <w:fldChar w:fldCharType="begin"/>
          </w:r>
          <w:r>
            <w:instrText xml:space="preserve"> HYPERLINK \l "_Toc8485" </w:instrText>
          </w:r>
          <w:r>
            <w:fldChar w:fldCharType="separate"/>
          </w:r>
          <w:r>
            <w:t>（二）完善投入机制</w:t>
          </w:r>
          <w:r>
            <w:tab/>
          </w:r>
          <w:r>
            <w:fldChar w:fldCharType="begin"/>
          </w:r>
          <w:r>
            <w:instrText xml:space="preserve"> PAGEREF _Toc8485 \h </w:instrText>
          </w:r>
          <w:r>
            <w:fldChar w:fldCharType="separate"/>
          </w:r>
          <w:r>
            <w:t>26</w:t>
          </w:r>
          <w:r>
            <w:fldChar w:fldCharType="end"/>
          </w:r>
          <w:r>
            <w:fldChar w:fldCharType="end"/>
          </w:r>
        </w:p>
        <w:p w14:paraId="19BC0FE2">
          <w:pPr>
            <w:pStyle w:val="17"/>
            <w:tabs>
              <w:tab w:val="right" w:leader="dot" w:pos="8306"/>
              <w:tab w:val="clear" w:pos="8296"/>
            </w:tabs>
          </w:pPr>
          <w:r>
            <w:fldChar w:fldCharType="begin"/>
          </w:r>
          <w:r>
            <w:instrText xml:space="preserve"> HYPERLINK \l "_Toc29424" </w:instrText>
          </w:r>
          <w:r>
            <w:fldChar w:fldCharType="separate"/>
          </w:r>
          <w:r>
            <w:t>（三）强化监测评估</w:t>
          </w:r>
          <w:r>
            <w:tab/>
          </w:r>
          <w:r>
            <w:fldChar w:fldCharType="begin"/>
          </w:r>
          <w:r>
            <w:instrText xml:space="preserve"> PAGEREF _Toc29424 \h </w:instrText>
          </w:r>
          <w:r>
            <w:fldChar w:fldCharType="separate"/>
          </w:r>
          <w:r>
            <w:t>26</w:t>
          </w:r>
          <w:r>
            <w:fldChar w:fldCharType="end"/>
          </w:r>
          <w:r>
            <w:fldChar w:fldCharType="end"/>
          </w:r>
        </w:p>
        <w:p w14:paraId="226D363D">
          <w:pPr>
            <w:pStyle w:val="17"/>
          </w:pPr>
          <w:r>
            <w:rPr>
              <w:rFonts w:eastAsia="黑体"/>
            </w:rPr>
            <w:fldChar w:fldCharType="end"/>
          </w:r>
        </w:p>
      </w:sdtContent>
    </w:sdt>
    <w:p w14:paraId="1E88584A">
      <w:pPr>
        <w:rPr>
          <w:rFonts w:ascii="Times New Roman" w:hAnsi="Times New Roman" w:cs="Times New Roman"/>
        </w:rPr>
      </w:pPr>
    </w:p>
    <w:p w14:paraId="4DFD0A42">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3DBAE1E7">
      <w:pPr>
        <w:jc w:val="center"/>
        <w:rPr>
          <w:rFonts w:ascii="Times New Roman" w:hAnsi="Times New Roman" w:eastAsia="华文中宋" w:cs="Times New Roman"/>
          <w:b/>
          <w:bCs/>
          <w:sz w:val="40"/>
          <w:szCs w:val="40"/>
        </w:rPr>
      </w:pPr>
      <w:r>
        <w:rPr>
          <w:rFonts w:ascii="Times New Roman" w:hAnsi="Times New Roman" w:eastAsia="华文中宋" w:cs="Times New Roman"/>
          <w:b/>
          <w:bCs/>
          <w:sz w:val="40"/>
          <w:szCs w:val="40"/>
        </w:rPr>
        <w:t>青浦区卫生健康发展</w:t>
      </w:r>
      <w:r>
        <w:rPr>
          <w:rFonts w:ascii="华文中宋" w:hAnsi="华文中宋" w:eastAsia="华文中宋" w:cs="Times New Roman"/>
          <w:b/>
          <w:bCs/>
          <w:sz w:val="40"/>
          <w:szCs w:val="40"/>
        </w:rPr>
        <w:t>“十五五”</w:t>
      </w:r>
      <w:r>
        <w:rPr>
          <w:rFonts w:ascii="Times New Roman" w:hAnsi="Times New Roman" w:eastAsia="华文中宋" w:cs="Times New Roman"/>
          <w:b/>
          <w:bCs/>
          <w:sz w:val="40"/>
          <w:szCs w:val="40"/>
        </w:rPr>
        <w:t>规划</w:t>
      </w:r>
    </w:p>
    <w:p w14:paraId="575AED9C">
      <w:pPr>
        <w:spacing w:line="600" w:lineRule="exact"/>
        <w:jc w:val="center"/>
        <w:rPr>
          <w:rFonts w:ascii="Times New Roman" w:hAnsi="Times New Roman" w:eastAsia="仿宋_GB2312" w:cs="Times New Roman"/>
          <w:bCs/>
          <w:sz w:val="32"/>
          <w:szCs w:val="32"/>
          <w14:ligatures w14:val="standardContextual"/>
        </w:rPr>
      </w:pPr>
    </w:p>
    <w:p w14:paraId="0B1CCCEE">
      <w:pPr>
        <w:spacing w:line="560" w:lineRule="exact"/>
        <w:ind w:firstLine="640" w:firstLineChars="200"/>
        <w:rPr>
          <w:rFonts w:ascii="Times New Roman" w:hAnsi="Times New Roman" w:eastAsia="仿宋_GB2312" w:cs="Times New Roman"/>
          <w:bCs/>
          <w:sz w:val="32"/>
          <w:szCs w:val="32"/>
          <w14:ligatures w14:val="standardContextual"/>
        </w:rPr>
      </w:pPr>
      <w:r>
        <w:rPr>
          <w:rFonts w:hint="eastAsia" w:ascii="Times New Roman" w:hAnsi="Times New Roman" w:eastAsia="仿宋_GB2312" w:cs="Times New Roman"/>
          <w:bCs/>
          <w:sz w:val="32"/>
          <w:szCs w:val="32"/>
          <w14:ligatures w14:val="standardContextual"/>
        </w:rPr>
        <w:t>为贯彻</w:t>
      </w:r>
      <w:r>
        <w:rPr>
          <w:rFonts w:ascii="Times New Roman" w:hAnsi="Times New Roman" w:eastAsia="仿宋_GB2312" w:cs="Times New Roman"/>
          <w:bCs/>
          <w:sz w:val="32"/>
          <w:szCs w:val="32"/>
          <w14:ligatures w14:val="standardContextual"/>
        </w:rPr>
        <w:t>新时期</w:t>
      </w:r>
      <w:r>
        <w:rPr>
          <w:rFonts w:hint="eastAsia" w:ascii="Times New Roman" w:hAnsi="Times New Roman" w:eastAsia="仿宋_GB2312" w:cs="Times New Roman"/>
          <w:bCs/>
          <w:sz w:val="32"/>
          <w:szCs w:val="32"/>
          <w14:ligatures w14:val="standardContextual"/>
        </w:rPr>
        <w:t>党的</w:t>
      </w:r>
      <w:r>
        <w:rPr>
          <w:rFonts w:ascii="Times New Roman" w:hAnsi="Times New Roman" w:eastAsia="仿宋_GB2312" w:cs="Times New Roman"/>
          <w:bCs/>
          <w:sz w:val="32"/>
          <w:szCs w:val="32"/>
          <w14:ligatures w14:val="standardContextual"/>
        </w:rPr>
        <w:t>卫生健康工作方针</w:t>
      </w:r>
      <w:r>
        <w:rPr>
          <w:rFonts w:hint="eastAsia" w:ascii="Times New Roman" w:hAnsi="Times New Roman" w:eastAsia="仿宋_GB2312" w:cs="Times New Roman"/>
          <w:bCs/>
          <w:sz w:val="32"/>
          <w:szCs w:val="32"/>
          <w14:ligatures w14:val="standardContextual"/>
        </w:rPr>
        <w:t>，服务国家战略和城市经济社会发展大局，深入实施</w:t>
      </w:r>
      <w:r>
        <w:rPr>
          <w:rFonts w:ascii="Times New Roman" w:hAnsi="Times New Roman" w:eastAsia="仿宋_GB2312" w:cs="Times New Roman"/>
          <w:bCs/>
          <w:sz w:val="32"/>
          <w:szCs w:val="32"/>
          <w14:ligatures w14:val="standardContextual"/>
        </w:rPr>
        <w:t>健康优先发展战略</w:t>
      </w:r>
      <w:r>
        <w:rPr>
          <w:rFonts w:hint="eastAsia" w:ascii="Times New Roman" w:hAnsi="Times New Roman" w:eastAsia="仿宋_GB2312" w:cs="Times New Roman"/>
          <w:bCs/>
          <w:sz w:val="32"/>
          <w:szCs w:val="32"/>
          <w14:ligatures w14:val="standardContextual"/>
        </w:rPr>
        <w:t>，满足人民群众对优质高效卫生健康服务需求，</w:t>
      </w:r>
      <w:r>
        <w:rPr>
          <w:rFonts w:ascii="Times New Roman" w:hAnsi="Times New Roman" w:eastAsia="仿宋_GB2312" w:cs="Times New Roman"/>
          <w:bCs/>
          <w:sz w:val="32"/>
          <w:szCs w:val="32"/>
          <w14:ligatures w14:val="standardContextual"/>
        </w:rPr>
        <w:t>根据《上海市卫生健康发</w:t>
      </w:r>
      <w:r>
        <w:rPr>
          <w:rFonts w:hint="eastAsia" w:ascii="仿宋_GB2312" w:hAnsi="Times New Roman" w:eastAsia="仿宋_GB2312" w:cs="Times New Roman"/>
          <w:bCs/>
          <w:sz w:val="32"/>
          <w:szCs w:val="32"/>
          <w14:ligatures w14:val="standardContextual"/>
        </w:rPr>
        <w:t>展“十五五”规划》和《上海市青浦区国民经济和社会</w:t>
      </w:r>
      <w:r>
        <w:rPr>
          <w:rFonts w:ascii="Times New Roman" w:hAnsi="Times New Roman" w:eastAsia="仿宋_GB2312" w:cs="Times New Roman"/>
          <w:bCs/>
          <w:sz w:val="32"/>
          <w:szCs w:val="32"/>
          <w14:ligatures w14:val="standardContextual"/>
        </w:rPr>
        <w:t>发展第十五个五年规划</w:t>
      </w:r>
      <w:r>
        <w:rPr>
          <w:rFonts w:hint="eastAsia" w:ascii="Times New Roman" w:hAnsi="Times New Roman" w:eastAsia="仿宋_GB2312" w:cs="Times New Roman"/>
          <w:bCs/>
          <w:sz w:val="32"/>
          <w:szCs w:val="32"/>
          <w14:ligatures w14:val="standardContextual"/>
        </w:rPr>
        <w:t>纲要</w:t>
      </w:r>
      <w:r>
        <w:rPr>
          <w:rFonts w:ascii="Times New Roman" w:hAnsi="Times New Roman" w:eastAsia="仿宋_GB2312" w:cs="Times New Roman"/>
          <w:bCs/>
          <w:sz w:val="32"/>
          <w:szCs w:val="32"/>
          <w14:ligatures w14:val="standardContextual"/>
        </w:rPr>
        <w:t>》，制定本规划。</w:t>
      </w:r>
    </w:p>
    <w:p w14:paraId="56AAAF8A">
      <w:pPr>
        <w:pStyle w:val="2"/>
        <w:spacing w:line="560" w:lineRule="exact"/>
        <w:rPr>
          <w:rFonts w:ascii="Times New Roman" w:hAnsi="Times New Roman"/>
        </w:rPr>
      </w:pPr>
      <w:bookmarkStart w:id="0" w:name="_Toc12816"/>
      <w:r>
        <w:rPr>
          <w:rFonts w:ascii="Times New Roman" w:hAnsi="Times New Roman"/>
        </w:rPr>
        <w:t>一、发展基础</w:t>
      </w:r>
      <w:bookmarkEnd w:id="0"/>
    </w:p>
    <w:p w14:paraId="7E4FD2D3">
      <w:pPr>
        <w:spacing w:line="560" w:lineRule="exact"/>
        <w:ind w:firstLine="640" w:firstLineChars="200"/>
        <w:rPr>
          <w:rFonts w:ascii="Times New Roman" w:hAnsi="Times New Roman" w:eastAsia="仿宋_GB2312" w:cs="Times New Roman"/>
          <w:bCs/>
          <w:sz w:val="32"/>
          <w:szCs w:val="32"/>
          <w14:ligatures w14:val="standardContextual"/>
        </w:rPr>
      </w:pPr>
      <w:bookmarkStart w:id="1" w:name="OLE_LINK22"/>
      <w:bookmarkStart w:id="2" w:name="OLE_LINK24"/>
      <w:r>
        <w:rPr>
          <w:rFonts w:hint="eastAsia" w:ascii="仿宋_GB2312" w:hAnsi="Times New Roman" w:eastAsia="仿宋_GB2312" w:cs="Times New Roman"/>
          <w:bCs/>
          <w:sz w:val="32"/>
          <w:szCs w:val="32"/>
          <w14:ligatures w14:val="standardContextual"/>
        </w:rPr>
        <w:t>“十四五”期</w:t>
      </w:r>
      <w:r>
        <w:rPr>
          <w:rFonts w:ascii="Times New Roman" w:hAnsi="Times New Roman" w:eastAsia="仿宋_GB2312" w:cs="Times New Roman"/>
          <w:bCs/>
          <w:sz w:val="32"/>
          <w:szCs w:val="32"/>
          <w14:ligatures w14:val="standardContextual"/>
        </w:rPr>
        <w:t>间，我区</w:t>
      </w:r>
      <w:bookmarkEnd w:id="1"/>
      <w:bookmarkStart w:id="3" w:name="OLE_LINK29"/>
      <w:r>
        <w:rPr>
          <w:rFonts w:hint="eastAsia" w:eastAsia="仿宋_GB2312"/>
          <w:kern w:val="0"/>
          <w:sz w:val="32"/>
          <w:szCs w:val="32"/>
        </w:rPr>
        <w:t>深入践行“人民城市人民建，人民城市为人民”理念，</w:t>
      </w:r>
      <w:r>
        <w:rPr>
          <w:rFonts w:ascii="Times New Roman" w:hAnsi="Times New Roman" w:eastAsia="仿宋_GB2312" w:cs="Times New Roman"/>
          <w:bCs/>
          <w:sz w:val="32"/>
          <w:szCs w:val="32"/>
          <w14:ligatures w14:val="standardContextual"/>
        </w:rPr>
        <w:t>始终坚持以人民健康为中心</w:t>
      </w:r>
      <w:bookmarkEnd w:id="3"/>
      <w:r>
        <w:rPr>
          <w:rFonts w:ascii="Times New Roman" w:hAnsi="Times New Roman" w:eastAsia="仿宋_GB2312" w:cs="Times New Roman"/>
          <w:bCs/>
          <w:sz w:val="32"/>
          <w:szCs w:val="32"/>
          <w14:ligatures w14:val="standardContextual"/>
        </w:rPr>
        <w:t>，</w:t>
      </w:r>
      <w:r>
        <w:rPr>
          <w:rFonts w:hint="eastAsia" w:ascii="Times New Roman" w:hAnsi="Times New Roman" w:eastAsia="仿宋_GB2312" w:cs="Times New Roman"/>
          <w:bCs/>
          <w:sz w:val="32"/>
          <w:szCs w:val="32"/>
          <w14:ligatures w14:val="standardContextual"/>
        </w:rPr>
        <w:t>全力推动卫生健康事业迈向高质量发展新征程，</w:t>
      </w:r>
      <w:r>
        <w:rPr>
          <w:rFonts w:ascii="Times New Roman" w:hAnsi="Times New Roman" w:eastAsia="仿宋_GB2312" w:cs="Times New Roman"/>
          <w:bCs/>
          <w:sz w:val="32"/>
          <w:szCs w:val="32"/>
          <w14:ligatures w14:val="standardContextual"/>
        </w:rPr>
        <w:t>卫生健康各项工作进展顺利，居民健康水平</w:t>
      </w:r>
      <w:r>
        <w:rPr>
          <w:rFonts w:hint="eastAsia" w:ascii="Times New Roman" w:hAnsi="Times New Roman" w:eastAsia="仿宋_GB2312" w:cs="Times New Roman"/>
          <w:bCs/>
          <w:sz w:val="32"/>
          <w:szCs w:val="32"/>
          <w14:ligatures w14:val="standardContextual"/>
        </w:rPr>
        <w:t>稳定处于世界发达国家和地区前列</w:t>
      </w:r>
      <w:r>
        <w:rPr>
          <w:rFonts w:ascii="Times New Roman" w:hAnsi="Times New Roman" w:eastAsia="仿宋_GB2312" w:cs="Times New Roman"/>
          <w:bCs/>
          <w:sz w:val="32"/>
          <w:szCs w:val="32"/>
          <w14:ligatures w14:val="standardContextual"/>
        </w:rPr>
        <w:t>。</w:t>
      </w:r>
    </w:p>
    <w:bookmarkEnd w:id="2"/>
    <w:p w14:paraId="3171893A">
      <w:pPr>
        <w:pStyle w:val="3"/>
        <w:spacing w:line="560" w:lineRule="exact"/>
      </w:pPr>
      <w:bookmarkStart w:id="4" w:name="_Toc18743"/>
      <w:r>
        <w:t>（一）医疗服务水平持续提升</w:t>
      </w:r>
      <w:bookmarkEnd w:id="4"/>
    </w:p>
    <w:p w14:paraId="207F5C0D">
      <w:pPr>
        <w:adjustRightInd w:val="0"/>
        <w:snapToGrid w:val="0"/>
        <w:spacing w:line="560" w:lineRule="exact"/>
        <w:ind w:firstLine="643" w:firstLineChars="200"/>
        <w:rPr>
          <w:rFonts w:ascii="Times New Roman" w:hAnsi="Times New Roman" w:eastAsia="仿宋_GB2312" w:cs="Times New Roman"/>
          <w:bCs/>
          <w:sz w:val="32"/>
          <w:szCs w:val="32"/>
          <w14:ligatures w14:val="standardContextual"/>
        </w:rPr>
      </w:pPr>
      <w:r>
        <w:rPr>
          <w:rFonts w:hint="eastAsia" w:ascii="Times New Roman" w:hAnsi="Times New Roman" w:eastAsia="仿宋_GB2312" w:cs="Times New Roman"/>
          <w:b/>
          <w:bCs/>
          <w:sz w:val="32"/>
          <w:szCs w:val="32"/>
        </w:rPr>
        <w:t>1.</w:t>
      </w:r>
      <w:r>
        <w:rPr>
          <w:rFonts w:ascii="Times New Roman" w:hAnsi="Times New Roman" w:eastAsia="仿宋_GB2312" w:cs="Times New Roman"/>
          <w:b/>
          <w:bCs/>
          <w:sz w:val="32"/>
          <w:szCs w:val="32"/>
        </w:rPr>
        <w:t>优质医疗资源</w:t>
      </w:r>
      <w:bookmarkStart w:id="5" w:name="OLE_LINK32"/>
      <w:r>
        <w:rPr>
          <w:rFonts w:ascii="Times New Roman" w:hAnsi="Times New Roman" w:eastAsia="仿宋_GB2312" w:cs="Times New Roman"/>
          <w:b/>
          <w:bCs/>
          <w:sz w:val="32"/>
          <w:szCs w:val="32"/>
        </w:rPr>
        <w:t>配置</w:t>
      </w:r>
      <w:bookmarkEnd w:id="5"/>
      <w:r>
        <w:rPr>
          <w:rFonts w:hint="eastAsia" w:ascii="Times New Roman" w:hAnsi="Times New Roman" w:eastAsia="仿宋_GB2312" w:cs="Times New Roman"/>
          <w:b/>
          <w:bCs/>
          <w:sz w:val="32"/>
          <w:szCs w:val="32"/>
        </w:rPr>
        <w:t>进一步加强</w:t>
      </w:r>
      <w:r>
        <w:rPr>
          <w:rFonts w:ascii="Times New Roman" w:hAnsi="Times New Roman" w:eastAsia="仿宋_GB2312" w:cs="Times New Roman"/>
          <w:b/>
          <w:bCs/>
          <w:sz w:val="32"/>
          <w:szCs w:val="32"/>
        </w:rPr>
        <w:t>。</w:t>
      </w:r>
      <w:r>
        <w:rPr>
          <w:rFonts w:ascii="Times New Roman" w:hAnsi="Times New Roman" w:eastAsia="仿宋_GB2312" w:cs="Times New Roman"/>
          <w:bCs/>
          <w:sz w:val="32"/>
          <w:szCs w:val="32"/>
          <w14:ligatures w14:val="standardContextual"/>
        </w:rPr>
        <w:t>青东地区，</w:t>
      </w:r>
      <w:bookmarkStart w:id="6" w:name="OLE_LINK36"/>
      <w:r>
        <w:rPr>
          <w:rFonts w:ascii="Times New Roman" w:hAnsi="Times New Roman" w:eastAsia="仿宋_GB2312" w:cs="Times New Roman"/>
          <w:bCs/>
          <w:sz w:val="32"/>
          <w:szCs w:val="32"/>
          <w14:ligatures w14:val="standardContextual"/>
        </w:rPr>
        <w:t>上海医大医院开业</w:t>
      </w:r>
      <w:bookmarkEnd w:id="6"/>
      <w:r>
        <w:rPr>
          <w:rFonts w:ascii="Times New Roman" w:hAnsi="Times New Roman" w:eastAsia="仿宋_GB2312" w:cs="Times New Roman"/>
          <w:bCs/>
          <w:sz w:val="32"/>
          <w:szCs w:val="32"/>
          <w14:ligatures w14:val="standardContextual"/>
        </w:rPr>
        <w:t>，上海</w:t>
      </w:r>
      <w:bookmarkStart w:id="7" w:name="OLE_LINK60"/>
      <w:r>
        <w:rPr>
          <w:rFonts w:ascii="Times New Roman" w:hAnsi="Times New Roman" w:eastAsia="仿宋_GB2312" w:cs="Times New Roman"/>
          <w:bCs/>
          <w:sz w:val="32"/>
          <w:szCs w:val="32"/>
          <w14:ligatures w14:val="standardContextual"/>
        </w:rPr>
        <w:t>德达医院、</w:t>
      </w:r>
      <w:bookmarkStart w:id="8" w:name="OLE_LINK71"/>
      <w:bookmarkStart w:id="9" w:name="OLE_LINK68"/>
      <w:r>
        <w:rPr>
          <w:rFonts w:ascii="Times New Roman" w:hAnsi="Times New Roman" w:eastAsia="仿宋_GB2312" w:cs="Times New Roman"/>
          <w:bCs/>
          <w:sz w:val="32"/>
          <w:szCs w:val="32"/>
          <w14:ligatures w14:val="standardContextual"/>
        </w:rPr>
        <w:t>冬雷脑科</w:t>
      </w:r>
      <w:bookmarkEnd w:id="8"/>
      <w:r>
        <w:rPr>
          <w:rFonts w:ascii="Times New Roman" w:hAnsi="Times New Roman" w:eastAsia="仿宋_GB2312" w:cs="Times New Roman"/>
          <w:bCs/>
          <w:sz w:val="32"/>
          <w:szCs w:val="32"/>
          <w14:ligatures w14:val="standardContextual"/>
        </w:rPr>
        <w:t>医院</w:t>
      </w:r>
      <w:bookmarkEnd w:id="7"/>
      <w:bookmarkEnd w:id="9"/>
      <w:r>
        <w:rPr>
          <w:rFonts w:ascii="Times New Roman" w:hAnsi="Times New Roman" w:eastAsia="仿宋_GB2312" w:cs="Times New Roman"/>
          <w:bCs/>
          <w:sz w:val="32"/>
          <w:szCs w:val="32"/>
          <w14:ligatures w14:val="standardContextual"/>
        </w:rPr>
        <w:t>和</w:t>
      </w:r>
      <w:bookmarkStart w:id="10" w:name="OLE_LINK69"/>
      <w:r>
        <w:rPr>
          <w:rFonts w:ascii="Times New Roman" w:hAnsi="Times New Roman" w:eastAsia="仿宋_GB2312" w:cs="Times New Roman"/>
          <w:bCs/>
          <w:sz w:val="32"/>
          <w:szCs w:val="32"/>
          <w14:ligatures w14:val="standardContextual"/>
        </w:rPr>
        <w:t>禾滨康复</w:t>
      </w:r>
      <w:bookmarkEnd w:id="10"/>
      <w:r>
        <w:rPr>
          <w:rFonts w:ascii="Times New Roman" w:hAnsi="Times New Roman" w:eastAsia="仿宋_GB2312" w:cs="Times New Roman"/>
          <w:bCs/>
          <w:sz w:val="32"/>
          <w:szCs w:val="32"/>
          <w14:ligatures w14:val="standardContextual"/>
        </w:rPr>
        <w:t>医院品牌影响力逐步扩大。青中地区，</w:t>
      </w:r>
      <w:r>
        <w:rPr>
          <w:rFonts w:hint="eastAsia" w:ascii="Times New Roman" w:hAnsi="Times New Roman" w:eastAsia="仿宋_GB2312" w:cs="Times New Roman"/>
          <w:bCs/>
          <w:sz w:val="32"/>
          <w:szCs w:val="32"/>
          <w14:ligatures w14:val="standardContextual"/>
        </w:rPr>
        <w:t>复旦大学附属中山医院国家医学中心青浦新城院区</w:t>
      </w:r>
      <w:r>
        <w:rPr>
          <w:rFonts w:ascii="Times New Roman" w:hAnsi="Times New Roman" w:eastAsia="仿宋_GB2312" w:cs="Times New Roman"/>
          <w:bCs/>
          <w:sz w:val="32"/>
          <w:szCs w:val="32"/>
          <w14:ligatures w14:val="standardContextual"/>
        </w:rPr>
        <w:t>（全国首个综合类国家医学中心）</w:t>
      </w:r>
      <w:r>
        <w:rPr>
          <w:rFonts w:hint="eastAsia" w:ascii="Times New Roman" w:hAnsi="Times New Roman" w:eastAsia="仿宋_GB2312" w:cs="Times New Roman"/>
          <w:bCs/>
          <w:sz w:val="32"/>
          <w:szCs w:val="32"/>
          <w14:ligatures w14:val="standardContextual"/>
        </w:rPr>
        <w:t>落地并</w:t>
      </w:r>
      <w:r>
        <w:rPr>
          <w:rFonts w:ascii="Times New Roman" w:hAnsi="Times New Roman" w:eastAsia="仿宋_GB2312" w:cs="Times New Roman"/>
          <w:bCs/>
          <w:sz w:val="32"/>
          <w:szCs w:val="32"/>
          <w14:ligatures w14:val="standardContextual"/>
        </w:rPr>
        <w:t>加快建设</w:t>
      </w:r>
      <w:r>
        <w:rPr>
          <w:rFonts w:hint="eastAsia" w:ascii="Times New Roman" w:hAnsi="Times New Roman" w:eastAsia="仿宋_GB2312" w:cs="Times New Roman"/>
          <w:bCs/>
          <w:sz w:val="32"/>
          <w:szCs w:val="32"/>
          <w14:ligatures w14:val="standardContextual"/>
        </w:rPr>
        <w:t>，</w:t>
      </w:r>
      <w:bookmarkStart w:id="11" w:name="OLE_LINK49"/>
      <w:r>
        <w:rPr>
          <w:rFonts w:ascii="Times New Roman" w:hAnsi="Times New Roman" w:eastAsia="仿宋_GB2312" w:cs="Times New Roman"/>
          <w:bCs/>
          <w:sz w:val="32"/>
          <w:szCs w:val="32"/>
          <w14:ligatures w14:val="standardContextual"/>
        </w:rPr>
        <w:t>复旦大学附属中山医院青浦分院</w:t>
      </w:r>
      <w:r>
        <w:rPr>
          <w:rFonts w:hint="eastAsia" w:ascii="Times New Roman" w:hAnsi="Times New Roman" w:eastAsia="仿宋_GB2312" w:cs="Times New Roman"/>
          <w:bCs/>
          <w:sz w:val="32"/>
          <w:szCs w:val="32"/>
          <w14:ligatures w14:val="standardContextual"/>
        </w:rPr>
        <w:t>国考成绩</w:t>
      </w:r>
      <w:r>
        <w:rPr>
          <w:rFonts w:ascii="Times New Roman" w:hAnsi="Times New Roman" w:eastAsia="仿宋_GB2312" w:cs="Times New Roman"/>
          <w:bCs/>
          <w:sz w:val="32"/>
          <w:szCs w:val="32"/>
          <w14:ligatures w14:val="standardContextual"/>
        </w:rPr>
        <w:t>首次进入全国三级综合医院B++行列</w:t>
      </w:r>
      <w:bookmarkEnd w:id="11"/>
      <w:r>
        <w:rPr>
          <w:rFonts w:ascii="Times New Roman" w:hAnsi="Times New Roman" w:eastAsia="仿宋_GB2312" w:cs="Times New Roman"/>
          <w:bCs/>
          <w:sz w:val="32"/>
          <w:szCs w:val="32"/>
          <w14:ligatures w14:val="standardContextual"/>
        </w:rPr>
        <w:t>。青西地区</w:t>
      </w:r>
      <w:bookmarkStart w:id="12" w:name="OLE_LINK3"/>
      <w:r>
        <w:rPr>
          <w:rFonts w:ascii="Times New Roman" w:hAnsi="Times New Roman" w:eastAsia="仿宋_GB2312" w:cs="Times New Roman"/>
          <w:bCs/>
          <w:sz w:val="32"/>
          <w:szCs w:val="32"/>
          <w14:ligatures w14:val="standardContextual"/>
        </w:rPr>
        <w:t>，</w:t>
      </w:r>
      <w:bookmarkEnd w:id="12"/>
      <w:r>
        <w:rPr>
          <w:rFonts w:ascii="Times New Roman" w:hAnsi="Times New Roman" w:eastAsia="仿宋_GB2312" w:cs="Times New Roman"/>
          <w:bCs/>
          <w:sz w:val="32"/>
          <w:szCs w:val="32"/>
          <w14:ligatures w14:val="standardContextual"/>
        </w:rPr>
        <w:t>复旦大学附属妇产科医院长三角一体化示范区青浦分院正式启用，</w:t>
      </w:r>
      <w:bookmarkStart w:id="13" w:name="OLE_LINK67"/>
      <w:bookmarkStart w:id="14" w:name="OLE_LINK39"/>
      <w:r>
        <w:rPr>
          <w:rFonts w:ascii="Times New Roman" w:hAnsi="Times New Roman" w:eastAsia="仿宋_GB2312" w:cs="Times New Roman"/>
          <w:bCs/>
          <w:sz w:val="32"/>
          <w:szCs w:val="32"/>
          <w14:ligatures w14:val="standardContextual"/>
        </w:rPr>
        <w:t>上海市儿童医院</w:t>
      </w:r>
      <w:bookmarkEnd w:id="13"/>
      <w:r>
        <w:rPr>
          <w:rFonts w:ascii="Times New Roman" w:hAnsi="Times New Roman" w:eastAsia="仿宋_GB2312" w:cs="Times New Roman"/>
          <w:bCs/>
          <w:sz w:val="32"/>
          <w:szCs w:val="32"/>
          <w14:ligatures w14:val="standardContextual"/>
        </w:rPr>
        <w:t>长三角一体化发展示范区医学中心项目</w:t>
      </w:r>
      <w:bookmarkEnd w:id="14"/>
      <w:r>
        <w:rPr>
          <w:rFonts w:ascii="Times New Roman" w:hAnsi="Times New Roman" w:eastAsia="仿宋_GB2312" w:cs="Times New Roman"/>
          <w:bCs/>
          <w:sz w:val="32"/>
          <w:szCs w:val="32"/>
          <w14:ligatures w14:val="standardContextual"/>
        </w:rPr>
        <w:t>加快推进，</w:t>
      </w:r>
      <w:r>
        <w:rPr>
          <w:rFonts w:hint="eastAsia" w:ascii="Times New Roman" w:hAnsi="Times New Roman" w:eastAsia="仿宋_GB2312" w:cs="Times New Roman"/>
          <w:bCs/>
          <w:sz w:val="32"/>
          <w:szCs w:val="32"/>
          <w14:ligatures w14:val="standardContextual"/>
        </w:rPr>
        <w:t>朱家角人民医院打响“互联网+医疗服务”品牌</w:t>
      </w:r>
      <w:r>
        <w:rPr>
          <w:rFonts w:ascii="Times New Roman" w:hAnsi="Times New Roman" w:eastAsia="仿宋_GB2312" w:cs="Times New Roman"/>
          <w:bCs/>
          <w:sz w:val="32"/>
          <w:szCs w:val="32"/>
          <w14:ligatures w14:val="standardContextual"/>
        </w:rPr>
        <w:t>。</w:t>
      </w:r>
      <w:bookmarkStart w:id="15" w:name="OLE_LINK15"/>
    </w:p>
    <w:p w14:paraId="157EB51A">
      <w:pPr>
        <w:adjustRightInd w:val="0"/>
        <w:snapToGrid w:val="0"/>
        <w:spacing w:line="560" w:lineRule="exact"/>
        <w:ind w:firstLine="643" w:firstLineChars="200"/>
        <w:rPr>
          <w:rFonts w:ascii="Times New Roman" w:hAnsi="Times New Roman" w:eastAsia="仿宋_GB2312" w:cs="Times New Roman"/>
          <w:bCs/>
          <w:sz w:val="32"/>
          <w:szCs w:val="32"/>
          <w14:ligatures w14:val="standardContextual"/>
        </w:rPr>
      </w:pPr>
      <w:r>
        <w:rPr>
          <w:rFonts w:hint="eastAsia" w:ascii="Times New Roman" w:hAnsi="Times New Roman" w:eastAsia="仿宋_GB2312" w:cs="Times New Roman"/>
          <w:b/>
          <w:bCs/>
          <w:sz w:val="32"/>
          <w:szCs w:val="32"/>
        </w:rPr>
        <w:t>2.</w:t>
      </w:r>
      <w:bookmarkEnd w:id="15"/>
      <w:bookmarkStart w:id="16" w:name="OLE_LINK17"/>
      <w:r>
        <w:rPr>
          <w:rFonts w:ascii="Times New Roman" w:hAnsi="Times New Roman" w:eastAsia="仿宋_GB2312" w:cs="Times New Roman"/>
          <w:b/>
          <w:bCs/>
          <w:sz w:val="32"/>
          <w:szCs w:val="32"/>
        </w:rPr>
        <w:t>紧密型城市医疗集团试点</w:t>
      </w:r>
      <w:bookmarkEnd w:id="16"/>
      <w:r>
        <w:rPr>
          <w:rFonts w:ascii="Times New Roman" w:hAnsi="Times New Roman" w:eastAsia="仿宋_GB2312" w:cs="Times New Roman"/>
          <w:b/>
          <w:bCs/>
          <w:sz w:val="32"/>
          <w:szCs w:val="32"/>
        </w:rPr>
        <w:t>建设。</w:t>
      </w:r>
      <w:bookmarkStart w:id="17" w:name="OLE_LINK2"/>
      <w:bookmarkStart w:id="18" w:name="OLE_LINK16"/>
      <w:r>
        <w:rPr>
          <w:rFonts w:hint="eastAsia" w:ascii="仿宋_GB2312" w:hAnsi="Times New Roman" w:eastAsia="仿宋_GB2312" w:cs="Times New Roman"/>
          <w:bCs/>
          <w:sz w:val="32"/>
          <w:szCs w:val="32"/>
          <w:lang w:eastAsia="zh-Hans"/>
          <w14:ligatures w14:val="standardContextual"/>
        </w:rPr>
        <w:t>按照国家要求，积极推进试点工作。</w:t>
      </w:r>
      <w:r>
        <w:rPr>
          <w:rFonts w:ascii="仿宋_GB2312" w:hAnsi="Times New Roman" w:eastAsia="仿宋_GB2312" w:cs="Times New Roman"/>
          <w:bCs/>
          <w:sz w:val="32"/>
          <w:szCs w:val="32"/>
          <w:lang w:eastAsia="zh-Hans"/>
          <w14:ligatures w14:val="standardContextual"/>
        </w:rPr>
        <w:t>制定出台《青浦区紧密型</w:t>
      </w:r>
      <w:r>
        <w:rPr>
          <w:rFonts w:ascii="Times New Roman" w:hAnsi="Times New Roman" w:eastAsia="仿宋_GB2312" w:cs="Times New Roman"/>
          <w:bCs/>
          <w:sz w:val="32"/>
          <w:szCs w:val="32"/>
          <w:lang w:eastAsia="zh-Hans"/>
          <w14:ligatures w14:val="standardContextual"/>
        </w:rPr>
        <w:t>城市医疗集团试点建设工作方案》</w:t>
      </w:r>
      <w:r>
        <w:rPr>
          <w:rFonts w:hint="eastAsia" w:ascii="Times New Roman" w:hAnsi="Times New Roman" w:eastAsia="仿宋_GB2312" w:cs="Times New Roman"/>
          <w:bCs/>
          <w:sz w:val="32"/>
          <w:szCs w:val="32"/>
          <w:lang w:eastAsia="zh-Hans"/>
          <w14:ligatures w14:val="standardContextual"/>
        </w:rPr>
        <w:t>以及</w:t>
      </w:r>
      <w:r>
        <w:rPr>
          <w:rFonts w:ascii="Times New Roman" w:hAnsi="Times New Roman" w:eastAsia="仿宋_GB2312" w:cs="Times New Roman"/>
          <w:bCs/>
          <w:sz w:val="32"/>
          <w:szCs w:val="32"/>
          <w14:ligatures w14:val="standardContextual"/>
        </w:rPr>
        <w:t>8个配套工作方案，</w:t>
      </w:r>
      <w:r>
        <w:rPr>
          <w:rFonts w:ascii="Times New Roman" w:hAnsi="Times New Roman" w:eastAsia="仿宋_GB2312" w:cs="Times New Roman"/>
          <w:bCs/>
          <w:sz w:val="32"/>
          <w:szCs w:val="32"/>
          <w:lang w:eastAsia="zh-Hans"/>
          <w14:ligatures w14:val="standardContextual"/>
        </w:rPr>
        <w:t>逐步形成以复旦大学附属中山医院青浦分院为核心的</w:t>
      </w:r>
      <w:r>
        <w:rPr>
          <w:rFonts w:hint="eastAsia" w:ascii="仿宋_GB2312" w:hAnsi="Times New Roman" w:eastAsia="仿宋_GB2312" w:cs="Times New Roman"/>
          <w:bCs/>
          <w:sz w:val="32"/>
          <w:szCs w:val="32"/>
          <w:lang w:eastAsia="zh-Hans"/>
          <w14:ligatures w14:val="standardContextual"/>
        </w:rPr>
        <w:t>“</w:t>
      </w:r>
      <w:r>
        <w:rPr>
          <w:rFonts w:ascii="Times New Roman" w:hAnsi="Times New Roman" w:eastAsia="仿宋_GB2312" w:cs="Times New Roman"/>
          <w:bCs/>
          <w:sz w:val="32"/>
          <w:szCs w:val="32"/>
          <w:lang w:eastAsia="zh-Hans"/>
          <w14:ligatures w14:val="standardContextual"/>
        </w:rPr>
        <w:t>1+X+12</w:t>
      </w:r>
      <w:r>
        <w:rPr>
          <w:rFonts w:hint="eastAsia" w:ascii="仿宋_GB2312" w:hAnsi="Times New Roman" w:eastAsia="仿宋_GB2312" w:cs="Times New Roman"/>
          <w:bCs/>
          <w:sz w:val="32"/>
          <w:szCs w:val="32"/>
          <w:lang w:eastAsia="zh-Hans"/>
          <w14:ligatures w14:val="standardContextual"/>
        </w:rPr>
        <w:t>”</w:t>
      </w:r>
      <w:r>
        <w:rPr>
          <w:rFonts w:ascii="Times New Roman" w:hAnsi="Times New Roman" w:eastAsia="仿宋_GB2312" w:cs="Times New Roman"/>
          <w:bCs/>
          <w:sz w:val="32"/>
          <w:szCs w:val="32"/>
          <w:lang w:eastAsia="zh-Hans"/>
          <w14:ligatures w14:val="standardContextual"/>
        </w:rPr>
        <w:t>服务网格。</w:t>
      </w:r>
      <w:bookmarkEnd w:id="17"/>
      <w:bookmarkStart w:id="19" w:name="OLE_LINK26"/>
      <w:bookmarkStart w:id="20" w:name="OLE_LINK40"/>
      <w:r>
        <w:rPr>
          <w:rFonts w:ascii="Times New Roman" w:hAnsi="Times New Roman" w:eastAsia="仿宋_GB2312" w:cs="Times New Roman"/>
          <w:bCs/>
          <w:sz w:val="32"/>
          <w:szCs w:val="32"/>
          <w14:ligatures w14:val="standardContextual"/>
        </w:rPr>
        <w:t>医疗服务</w:t>
      </w:r>
      <w:bookmarkStart w:id="21" w:name="OLE_LINK27"/>
      <w:r>
        <w:rPr>
          <w:rFonts w:ascii="Times New Roman" w:hAnsi="Times New Roman" w:eastAsia="仿宋_GB2312" w:cs="Times New Roman"/>
          <w:bCs/>
          <w:sz w:val="32"/>
          <w:szCs w:val="32"/>
          <w14:ligatures w14:val="standardContextual"/>
        </w:rPr>
        <w:t>同质同效</w:t>
      </w:r>
      <w:bookmarkEnd w:id="19"/>
      <w:bookmarkEnd w:id="21"/>
      <w:r>
        <w:rPr>
          <w:rFonts w:ascii="Times New Roman" w:hAnsi="Times New Roman" w:eastAsia="仿宋_GB2312" w:cs="Times New Roman"/>
          <w:bCs/>
          <w:sz w:val="32"/>
          <w:szCs w:val="32"/>
          <w14:ligatures w14:val="standardContextual"/>
        </w:rPr>
        <w:t>建设稳步</w:t>
      </w:r>
      <w:bookmarkEnd w:id="20"/>
      <w:r>
        <w:rPr>
          <w:rFonts w:ascii="Times New Roman" w:hAnsi="Times New Roman" w:eastAsia="仿宋_GB2312" w:cs="Times New Roman"/>
          <w:bCs/>
          <w:sz w:val="32"/>
          <w:szCs w:val="32"/>
          <w14:ligatures w14:val="standardContextual"/>
        </w:rPr>
        <w:t>推进，通过开设名医工作室、全专结合诊疗、下沉预约号源等</w:t>
      </w:r>
      <w:r>
        <w:rPr>
          <w:rFonts w:hint="eastAsia" w:ascii="Times New Roman" w:hAnsi="Times New Roman" w:eastAsia="仿宋_GB2312" w:cs="Times New Roman"/>
          <w:bCs/>
          <w:sz w:val="32"/>
          <w:szCs w:val="32"/>
          <w14:ligatures w14:val="standardContextual"/>
        </w:rPr>
        <w:t>，促进优质医疗资源下沉</w:t>
      </w:r>
      <w:r>
        <w:rPr>
          <w:rFonts w:ascii="Times New Roman" w:hAnsi="Times New Roman" w:eastAsia="仿宋_GB2312" w:cs="Times New Roman"/>
          <w:bCs/>
          <w:sz w:val="32"/>
          <w:szCs w:val="32"/>
          <w14:ligatures w14:val="standardContextual"/>
        </w:rPr>
        <w:t>。</w:t>
      </w:r>
      <w:r>
        <w:rPr>
          <w:rFonts w:hint="eastAsia" w:ascii="Times New Roman" w:hAnsi="Times New Roman" w:eastAsia="仿宋_GB2312" w:cs="Times New Roman"/>
          <w:bCs/>
          <w:sz w:val="32"/>
          <w:szCs w:val="32"/>
          <w14:ligatures w14:val="standardContextual"/>
        </w:rPr>
        <w:t>持续推进区域医学检验、影像、远程心电、病理诊断、消毒供应中心，新成立区域审方中心、感控培训中心、疑难病会诊中心和肺功能诊断中心。建立区级双向转诊平台，畅通基层与二、三级医院间的双向转诊服务。创新性推广一站式预约检查，牵头医院向社区卫生服务中心开放增强CT、核磁共振、胃肠镜检查等大型检查项目，实现患者便捷预约和付费。</w:t>
      </w:r>
    </w:p>
    <w:bookmarkEnd w:id="18"/>
    <w:p w14:paraId="348A2C8B">
      <w:pPr>
        <w:adjustRightInd w:val="0"/>
        <w:snapToGrid w:val="0"/>
        <w:spacing w:line="560" w:lineRule="exact"/>
        <w:ind w:firstLine="643" w:firstLineChars="200"/>
        <w:rPr>
          <w:rFonts w:ascii="Times New Roman" w:hAnsi="Times New Roman" w:eastAsia="仿宋_GB2312" w:cs="Times New Roman"/>
          <w:bCs/>
          <w:sz w:val="32"/>
          <w:szCs w:val="32"/>
          <w14:ligatures w14:val="standardContextual"/>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rPr>
        <w:t>基层医疗卫生服务能力不断提升。</w:t>
      </w:r>
      <w:r>
        <w:rPr>
          <w:rFonts w:ascii="Times New Roman" w:hAnsi="Times New Roman" w:eastAsia="仿宋_GB2312" w:cs="Times New Roman"/>
          <w:bCs/>
          <w:sz w:val="32"/>
          <w:szCs w:val="32"/>
          <w14:ligatures w14:val="standardContextual"/>
        </w:rPr>
        <w:t>基层医疗服务网络布局持续完善，新建青浦新城一站大居社区卫生服务中心（一期）和徐泾北大居社区卫生服务中心，迁建白鹤镇</w:t>
      </w:r>
      <w:r>
        <w:rPr>
          <w:rFonts w:hint="eastAsia" w:ascii="Times New Roman" w:hAnsi="Times New Roman" w:eastAsia="仿宋_GB2312" w:cs="Times New Roman"/>
          <w:bCs/>
          <w:sz w:val="32"/>
          <w:szCs w:val="32"/>
          <w14:ligatures w14:val="standardContextual"/>
        </w:rPr>
        <w:t>、朱家角镇</w:t>
      </w:r>
      <w:r>
        <w:rPr>
          <w:rFonts w:ascii="Times New Roman" w:hAnsi="Times New Roman" w:eastAsia="仿宋_GB2312" w:cs="Times New Roman"/>
          <w:bCs/>
          <w:sz w:val="32"/>
          <w:szCs w:val="32"/>
          <w14:ligatures w14:val="standardContextual"/>
        </w:rPr>
        <w:t>社区卫生服务中心和金泽镇社区卫生服务中心商榻分中心。完成所有社区卫生服务中心发热哨点诊室或发热门诊规范化建设和1</w:t>
      </w:r>
      <w:r>
        <w:rPr>
          <w:rFonts w:hint="eastAsia" w:ascii="Times New Roman" w:hAnsi="Times New Roman" w:eastAsia="仿宋_GB2312" w:cs="Times New Roman"/>
          <w:bCs/>
          <w:sz w:val="32"/>
          <w:szCs w:val="32"/>
          <w14:ligatures w14:val="standardContextual"/>
        </w:rPr>
        <w:t>24</w:t>
      </w:r>
      <w:r>
        <w:rPr>
          <w:rFonts w:ascii="Times New Roman" w:hAnsi="Times New Roman" w:eastAsia="仿宋_GB2312" w:cs="Times New Roman"/>
          <w:bCs/>
          <w:sz w:val="32"/>
          <w:szCs w:val="32"/>
          <w14:ligatures w14:val="standardContextual"/>
        </w:rPr>
        <w:t>家村卫生室（社区卫生服务站）标准化建设。建成8家社区康复中心、4家社区护理中心和1家标准化口腔诊室。推进基本病种清单应用，202</w:t>
      </w:r>
      <w:r>
        <w:rPr>
          <w:rFonts w:hint="eastAsia" w:ascii="Times New Roman" w:hAnsi="Times New Roman" w:eastAsia="仿宋_GB2312" w:cs="Times New Roman"/>
          <w:bCs/>
          <w:sz w:val="32"/>
          <w:szCs w:val="32"/>
          <w14:ligatures w14:val="standardContextual"/>
        </w:rPr>
        <w:t>5</w:t>
      </w:r>
      <w:r>
        <w:rPr>
          <w:rFonts w:ascii="Times New Roman" w:hAnsi="Times New Roman" w:eastAsia="仿宋_GB2312" w:cs="Times New Roman"/>
          <w:bCs/>
          <w:sz w:val="32"/>
          <w:szCs w:val="32"/>
          <w14:ligatures w14:val="standardContextual"/>
        </w:rPr>
        <w:t>年社区卫生服务中心</w:t>
      </w:r>
      <w:r>
        <w:rPr>
          <w:rFonts w:hint="eastAsia" w:ascii="Times New Roman" w:hAnsi="Times New Roman" w:eastAsia="仿宋_GB2312" w:cs="Times New Roman"/>
          <w:bCs/>
          <w:sz w:val="32"/>
          <w:szCs w:val="32"/>
          <w14:ligatures w14:val="standardContextual"/>
        </w:rPr>
        <w:t>西医病种平均达147种、中医基本病</w:t>
      </w:r>
      <w:bookmarkStart w:id="99" w:name="_GoBack"/>
      <w:bookmarkEnd w:id="99"/>
      <w:r>
        <w:rPr>
          <w:rFonts w:hint="eastAsia" w:ascii="Times New Roman" w:hAnsi="Times New Roman" w:eastAsia="仿宋_GB2312" w:cs="Times New Roman"/>
          <w:bCs/>
          <w:sz w:val="32"/>
          <w:szCs w:val="32"/>
          <w14:ligatures w14:val="standardContextual"/>
        </w:rPr>
        <w:t>种86.5种</w:t>
      </w:r>
      <w:r>
        <w:rPr>
          <w:rFonts w:ascii="Times New Roman" w:hAnsi="Times New Roman" w:eastAsia="仿宋_GB2312" w:cs="Times New Roman"/>
          <w:bCs/>
          <w:sz w:val="32"/>
          <w:szCs w:val="32"/>
          <w:highlight w:val="none"/>
          <w14:ligatures w14:val="standardContextual"/>
        </w:rPr>
        <w:t>。</w:t>
      </w:r>
      <w:r>
        <w:rPr>
          <w:rFonts w:ascii="Times New Roman" w:hAnsi="Times New Roman" w:eastAsia="仿宋_GB2312" w:cs="Times New Roman"/>
          <w:bCs/>
          <w:sz w:val="32"/>
          <w:szCs w:val="32"/>
          <w14:ligatures w14:val="standardContextual"/>
        </w:rPr>
        <w:t>稳步</w:t>
      </w:r>
      <w:r>
        <w:rPr>
          <w:rFonts w:hint="eastAsia" w:ascii="仿宋_GB2312" w:hAnsi="Times New Roman" w:eastAsia="仿宋_GB2312" w:cs="Times New Roman"/>
          <w:bCs/>
          <w:sz w:val="32"/>
          <w:szCs w:val="32"/>
          <w14:ligatures w14:val="standardContextual"/>
        </w:rPr>
        <w:t>开展</w:t>
      </w:r>
      <w:r>
        <w:rPr>
          <w:rFonts w:hint="eastAsia" w:ascii="仿宋_GB2312" w:hAnsi="Times New Roman" w:eastAsia="仿宋_GB2312" w:cs="Times New Roman"/>
          <w:bCs/>
          <w:sz w:val="32"/>
          <w:szCs w:val="32"/>
          <w:lang w:eastAsia="zh-Hans"/>
          <w14:ligatures w14:val="standardContextual"/>
        </w:rPr>
        <w:t>“</w:t>
      </w:r>
      <w:r>
        <w:rPr>
          <w:rFonts w:ascii="Times New Roman" w:hAnsi="Times New Roman" w:eastAsia="仿宋_GB2312" w:cs="Times New Roman"/>
          <w:bCs/>
          <w:sz w:val="32"/>
          <w:szCs w:val="32"/>
          <w:lang w:eastAsia="zh-Hans"/>
          <w14:ligatures w14:val="standardContextual"/>
        </w:rPr>
        <w:t>1+1+1</w:t>
      </w:r>
      <w:r>
        <w:rPr>
          <w:rFonts w:hint="eastAsia" w:ascii="仿宋_GB2312" w:hAnsi="Times New Roman" w:eastAsia="仿宋_GB2312" w:cs="Times New Roman"/>
          <w:bCs/>
          <w:sz w:val="32"/>
          <w:szCs w:val="32"/>
          <w:lang w:eastAsia="zh-Hans"/>
          <w14:ligatures w14:val="standardContextual"/>
        </w:rPr>
        <w:t>”</w:t>
      </w:r>
      <w:r>
        <w:rPr>
          <w:rFonts w:hint="eastAsia" w:ascii="仿宋_GB2312" w:hAnsi="Times New Roman" w:eastAsia="仿宋_GB2312" w:cs="Times New Roman"/>
          <w:bCs/>
          <w:sz w:val="32"/>
          <w:szCs w:val="32"/>
          <w14:ligatures w14:val="standardContextual"/>
        </w:rPr>
        <w:t>签约</w:t>
      </w:r>
      <w:r>
        <w:rPr>
          <w:rFonts w:ascii="Times New Roman" w:hAnsi="Times New Roman" w:eastAsia="仿宋_GB2312" w:cs="Times New Roman"/>
          <w:bCs/>
          <w:sz w:val="32"/>
          <w:szCs w:val="32"/>
          <w14:ligatures w14:val="standardContextual"/>
        </w:rPr>
        <w:t>工作，</w:t>
      </w:r>
      <w:r>
        <w:rPr>
          <w:rFonts w:hint="eastAsia" w:ascii="Times New Roman" w:hAnsi="Times New Roman" w:eastAsia="仿宋_GB2312" w:cs="Times New Roman"/>
          <w:bCs/>
          <w:sz w:val="32"/>
          <w:szCs w:val="32"/>
          <w14:ligatures w14:val="standardContextual"/>
        </w:rPr>
        <w:t>推进社区家庭医生和</w:t>
      </w:r>
      <w:r>
        <w:rPr>
          <w:rFonts w:ascii="Times New Roman" w:hAnsi="Times New Roman" w:eastAsia="仿宋_GB2312" w:cs="Times New Roman"/>
          <w:bCs/>
          <w:sz w:val="32"/>
          <w:szCs w:val="32"/>
          <w14:ligatures w14:val="standardContextual"/>
        </w:rPr>
        <w:t>复旦大学附属中山医院青浦分院</w:t>
      </w:r>
      <w:r>
        <w:rPr>
          <w:rFonts w:hint="eastAsia" w:ascii="Times New Roman" w:hAnsi="Times New Roman" w:eastAsia="仿宋_GB2312" w:cs="Times New Roman"/>
          <w:bCs/>
          <w:sz w:val="32"/>
          <w:szCs w:val="32"/>
          <w14:ligatures w14:val="standardContextual"/>
        </w:rPr>
        <w:t>名医工作室专科医生团队</w:t>
      </w:r>
      <w:r>
        <w:rPr>
          <w:rFonts w:hint="eastAsia" w:ascii="仿宋_GB2312" w:hAnsi="Times New Roman" w:eastAsia="仿宋_GB2312" w:cs="Times New Roman"/>
          <w:bCs/>
          <w:sz w:val="32"/>
          <w:szCs w:val="32"/>
          <w14:ligatures w14:val="standardContextual"/>
        </w:rPr>
        <w:t>“双签约”，</w:t>
      </w:r>
      <w:r>
        <w:rPr>
          <w:rFonts w:ascii="Times New Roman" w:hAnsi="Times New Roman" w:eastAsia="仿宋_GB2312" w:cs="Times New Roman"/>
          <w:bCs/>
          <w:sz w:val="32"/>
          <w:szCs w:val="32"/>
          <w14:ligatures w14:val="standardContextual"/>
        </w:rPr>
        <w:t>积极落实社区卫生服务中心优先预约上级医院门诊号源工作。</w:t>
      </w:r>
      <w:r>
        <w:rPr>
          <w:rFonts w:hint="eastAsia" w:ascii="Times New Roman" w:hAnsi="Times New Roman" w:eastAsia="仿宋_GB2312" w:cs="Times New Roman"/>
          <w:bCs/>
          <w:sz w:val="32"/>
          <w:szCs w:val="32"/>
          <w14:ligatures w14:val="standardContextual"/>
        </w:rPr>
        <w:t>村卫生室全覆盖设立“配不到药”登记专窗，有效破解远郊地区药品供应“最后一公里”难题。</w:t>
      </w:r>
      <w:r>
        <w:rPr>
          <w:rFonts w:ascii="Times New Roman" w:hAnsi="Times New Roman" w:eastAsia="仿宋_GB2312" w:cs="Times New Roman"/>
          <w:bCs/>
          <w:sz w:val="32"/>
          <w:szCs w:val="32"/>
          <w14:ligatures w14:val="standardContextual"/>
        </w:rPr>
        <w:t>截至202</w:t>
      </w:r>
      <w:r>
        <w:rPr>
          <w:rFonts w:hint="eastAsia" w:ascii="Times New Roman" w:hAnsi="Times New Roman" w:eastAsia="仿宋_GB2312" w:cs="Times New Roman"/>
          <w:bCs/>
          <w:sz w:val="32"/>
          <w:szCs w:val="32"/>
          <w14:ligatures w14:val="standardContextual"/>
        </w:rPr>
        <w:t>5</w:t>
      </w:r>
      <w:r>
        <w:rPr>
          <w:rFonts w:ascii="Times New Roman" w:hAnsi="Times New Roman" w:eastAsia="仿宋_GB2312" w:cs="Times New Roman"/>
          <w:bCs/>
          <w:sz w:val="32"/>
          <w:szCs w:val="32"/>
          <w14:ligatures w14:val="standardContextual"/>
        </w:rPr>
        <w:t>年底，家庭医</w:t>
      </w:r>
      <w:r>
        <w:rPr>
          <w:rFonts w:ascii="Times New Roman" w:hAnsi="Times New Roman" w:eastAsia="仿宋_GB2312" w:cs="Times New Roman"/>
          <w:bCs/>
          <w:sz w:val="32"/>
          <w:szCs w:val="32"/>
          <w:highlight w:val="none"/>
          <w14:ligatures w14:val="standardContextual"/>
        </w:rPr>
        <w:t>生签约率</w:t>
      </w:r>
      <w:r>
        <w:rPr>
          <w:rFonts w:hint="eastAsia" w:ascii="Times New Roman" w:hAnsi="Times New Roman" w:eastAsia="仿宋_GB2312" w:cs="Times New Roman"/>
          <w:bCs/>
          <w:sz w:val="32"/>
          <w:szCs w:val="32"/>
          <w:highlight w:val="none"/>
          <w:lang w:val="en-US" w:eastAsia="zh-CN"/>
          <w14:ligatures w14:val="standardContextual"/>
        </w:rPr>
        <w:t>45.35%</w:t>
      </w:r>
      <w:r>
        <w:rPr>
          <w:rFonts w:ascii="Times New Roman" w:hAnsi="Times New Roman" w:eastAsia="仿宋_GB2312" w:cs="Times New Roman"/>
          <w:bCs/>
          <w:sz w:val="32"/>
          <w:szCs w:val="32"/>
          <w:highlight w:val="none"/>
          <w14:ligatures w14:val="standardContextual"/>
        </w:rPr>
        <w:t>，</w:t>
      </w:r>
      <w:r>
        <w:rPr>
          <w:rFonts w:hint="eastAsia" w:ascii="Times New Roman" w:hAnsi="Times New Roman" w:eastAsia="仿宋_GB2312" w:cs="Times New Roman"/>
          <w:bCs/>
          <w:sz w:val="32"/>
          <w:szCs w:val="32"/>
          <w:lang w:val="en-US" w:eastAsia="zh-CN"/>
          <w14:ligatures w14:val="standardContextual"/>
        </w:rPr>
        <w:t>65岁以上</w:t>
      </w:r>
      <w:r>
        <w:rPr>
          <w:rFonts w:ascii="Times New Roman" w:hAnsi="Times New Roman" w:eastAsia="仿宋_GB2312" w:cs="Times New Roman"/>
          <w:bCs/>
          <w:sz w:val="32"/>
          <w:szCs w:val="32"/>
          <w14:ligatures w14:val="standardContextual"/>
        </w:rPr>
        <w:t>重点人群</w:t>
      </w:r>
      <w:r>
        <w:rPr>
          <w:rFonts w:ascii="Times New Roman" w:hAnsi="Times New Roman" w:eastAsia="仿宋_GB2312" w:cs="Times New Roman"/>
          <w:bCs/>
          <w:sz w:val="32"/>
          <w:szCs w:val="32"/>
          <w:highlight w:val="none"/>
          <w14:ligatures w14:val="standardContextual"/>
        </w:rPr>
        <w:t>签约率</w:t>
      </w:r>
      <w:r>
        <w:rPr>
          <w:rFonts w:hint="eastAsia" w:ascii="Times New Roman" w:hAnsi="Times New Roman" w:eastAsia="仿宋_GB2312" w:cs="Times New Roman"/>
          <w:bCs/>
          <w:sz w:val="32"/>
          <w:szCs w:val="32"/>
          <w:highlight w:val="none"/>
          <w:lang w:val="en-US" w:eastAsia="zh-CN"/>
          <w14:ligatures w14:val="standardContextual"/>
        </w:rPr>
        <w:t>76.67</w:t>
      </w:r>
      <w:r>
        <w:rPr>
          <w:rFonts w:ascii="Times New Roman" w:hAnsi="Times New Roman" w:eastAsia="仿宋_GB2312" w:cs="Times New Roman"/>
          <w:bCs/>
          <w:sz w:val="32"/>
          <w:szCs w:val="32"/>
          <w:highlight w:val="none"/>
          <w14:ligatures w14:val="standardContextual"/>
        </w:rPr>
        <w:t>%，</w:t>
      </w:r>
      <w:r>
        <w:rPr>
          <w:rFonts w:ascii="Times New Roman" w:hAnsi="Times New Roman" w:eastAsia="仿宋_GB2312" w:cs="Times New Roman"/>
          <w:bCs/>
          <w:sz w:val="32"/>
          <w:szCs w:val="32"/>
          <w14:ligatures w14:val="standardContextual"/>
        </w:rPr>
        <w:t>签约重点人群组合内就诊</w:t>
      </w:r>
      <w:r>
        <w:rPr>
          <w:rFonts w:ascii="Times New Roman" w:hAnsi="Times New Roman" w:eastAsia="仿宋_GB2312" w:cs="Times New Roman"/>
          <w:bCs/>
          <w:sz w:val="32"/>
          <w:szCs w:val="32"/>
          <w:highlight w:val="none"/>
          <w14:ligatures w14:val="standardContextual"/>
        </w:rPr>
        <w:t>率</w:t>
      </w:r>
      <w:r>
        <w:rPr>
          <w:rFonts w:hint="eastAsia" w:ascii="Times New Roman" w:hAnsi="Times New Roman" w:eastAsia="仿宋_GB2312" w:cs="Times New Roman"/>
          <w:bCs/>
          <w:sz w:val="32"/>
          <w:szCs w:val="32"/>
          <w:highlight w:val="none"/>
          <w:lang w:val="en-US" w:eastAsia="zh-CN"/>
          <w14:ligatures w14:val="standardContextual"/>
        </w:rPr>
        <w:t>79.32%</w:t>
      </w:r>
      <w:r>
        <w:rPr>
          <w:rFonts w:ascii="Times New Roman" w:hAnsi="Times New Roman" w:eastAsia="仿宋_GB2312" w:cs="Times New Roman"/>
          <w:bCs/>
          <w:sz w:val="32"/>
          <w:szCs w:val="32"/>
          <w:highlight w:val="none"/>
          <w14:ligatures w14:val="standardContextual"/>
        </w:rPr>
        <w:t>。</w:t>
      </w:r>
    </w:p>
    <w:p w14:paraId="213199AE">
      <w:pPr>
        <w:adjustRightInd w:val="0"/>
        <w:snapToGrid w:val="0"/>
        <w:spacing w:line="560" w:lineRule="exact"/>
        <w:ind w:firstLine="643" w:firstLineChars="200"/>
        <w:rPr>
          <w:rFonts w:ascii="Times New Roman" w:hAnsi="Times New Roman" w:eastAsia="仿宋_GB2312" w:cs="Times New Roman"/>
          <w:sz w:val="32"/>
          <w:szCs w:val="32"/>
          <w14:ligatures w14:val="standardContextual"/>
        </w:rPr>
      </w:pPr>
      <w:r>
        <w:rPr>
          <w:rFonts w:hint="eastAsia" w:ascii="Times New Roman" w:hAnsi="Times New Roman" w:eastAsia="仿宋_GB2312" w:cs="Times New Roman"/>
          <w:b/>
          <w:bCs/>
          <w:sz w:val="32"/>
          <w:szCs w:val="32"/>
        </w:rPr>
        <w:t>4.</w:t>
      </w:r>
      <w:r>
        <w:rPr>
          <w:rFonts w:ascii="Times New Roman" w:hAnsi="Times New Roman" w:eastAsia="仿宋_GB2312" w:cs="Times New Roman"/>
          <w:b/>
          <w:bCs/>
          <w:sz w:val="32"/>
          <w:szCs w:val="32"/>
        </w:rPr>
        <w:t>中医药传承创新持续推进。</w:t>
      </w:r>
      <w:r>
        <w:rPr>
          <w:rFonts w:ascii="Times New Roman" w:hAnsi="Times New Roman" w:eastAsia="仿宋_GB2312" w:cs="Times New Roman"/>
          <w:bCs/>
          <w:sz w:val="32"/>
          <w:szCs w:val="32"/>
          <w14:ligatures w14:val="standardContextual"/>
        </w:rPr>
        <w:t>区中医医院</w:t>
      </w:r>
      <w:r>
        <w:rPr>
          <w:rFonts w:hint="eastAsia" w:ascii="Times New Roman" w:hAnsi="Times New Roman" w:eastAsia="仿宋_GB2312" w:cs="Times New Roman"/>
          <w:bCs/>
          <w:sz w:val="32"/>
          <w:szCs w:val="32"/>
          <w14:ligatures w14:val="standardContextual"/>
        </w:rPr>
        <w:t>加强与</w:t>
      </w:r>
      <w:r>
        <w:rPr>
          <w:rFonts w:ascii="Times New Roman" w:hAnsi="Times New Roman" w:eastAsia="仿宋_GB2312" w:cs="Times New Roman"/>
          <w:bCs/>
          <w:sz w:val="32"/>
          <w:szCs w:val="32"/>
          <w14:ligatures w14:val="standardContextual"/>
        </w:rPr>
        <w:t>复旦大学中西医结合研究院合作</w:t>
      </w:r>
      <w:r>
        <w:rPr>
          <w:rFonts w:hint="eastAsia" w:ascii="Times New Roman" w:hAnsi="Times New Roman" w:eastAsia="仿宋_GB2312" w:cs="Times New Roman"/>
          <w:bCs/>
          <w:sz w:val="32"/>
          <w:szCs w:val="32"/>
          <w14:ligatures w14:val="standardContextual"/>
        </w:rPr>
        <w:t>。积极参与上海市西部中医医联体、长三角生态绿色一体化发展示范区中医联合体建设。大力提升社区中医药服务能力，</w:t>
      </w:r>
      <w:r>
        <w:rPr>
          <w:rFonts w:ascii="Times New Roman" w:hAnsi="Times New Roman" w:eastAsia="仿宋_GB2312" w:cs="Times New Roman"/>
          <w:sz w:val="32"/>
          <w:szCs w:val="32"/>
          <w14:ligatures w14:val="standardContextual"/>
        </w:rPr>
        <w:t>实现中医药在家庭医生团队服务中全覆盖。成功创建2家市级中医药特色示范中心</w:t>
      </w:r>
      <w:r>
        <w:rPr>
          <w:rFonts w:hint="eastAsia" w:ascii="Times New Roman" w:hAnsi="Times New Roman" w:eastAsia="仿宋_GB2312" w:cs="Times New Roman"/>
          <w:sz w:val="32"/>
          <w:szCs w:val="32"/>
          <w14:ligatures w14:val="standardContextual"/>
        </w:rPr>
        <w:t>和11</w:t>
      </w:r>
      <w:r>
        <w:rPr>
          <w:rFonts w:ascii="Times New Roman" w:hAnsi="Times New Roman" w:eastAsia="仿宋_GB2312" w:cs="Times New Roman"/>
          <w:sz w:val="32"/>
          <w:szCs w:val="32"/>
          <w14:ligatures w14:val="standardContextual"/>
        </w:rPr>
        <w:t>家市级中医药特色</w:t>
      </w:r>
      <w:r>
        <w:rPr>
          <w:rFonts w:hint="eastAsia" w:ascii="Times New Roman" w:hAnsi="Times New Roman" w:eastAsia="仿宋_GB2312" w:cs="Times New Roman"/>
          <w:sz w:val="32"/>
          <w:szCs w:val="32"/>
          <w14:ligatures w14:val="standardContextual"/>
        </w:rPr>
        <w:t>巡诊</w:t>
      </w:r>
      <w:r>
        <w:rPr>
          <w:rFonts w:ascii="Times New Roman" w:hAnsi="Times New Roman" w:eastAsia="仿宋_GB2312" w:cs="Times New Roman"/>
          <w:sz w:val="32"/>
          <w:szCs w:val="32"/>
          <w14:ligatures w14:val="standardContextual"/>
        </w:rPr>
        <w:t>站</w:t>
      </w:r>
      <w:r>
        <w:rPr>
          <w:rFonts w:hint="eastAsia" w:ascii="Times New Roman" w:hAnsi="Times New Roman" w:eastAsia="仿宋_GB2312" w:cs="Times New Roman"/>
          <w:sz w:val="32"/>
          <w:szCs w:val="32"/>
          <w14:ligatures w14:val="standardContextual"/>
        </w:rPr>
        <w:t>点</w:t>
      </w:r>
      <w:r>
        <w:rPr>
          <w:rFonts w:ascii="Times New Roman" w:hAnsi="Times New Roman" w:eastAsia="仿宋_GB2312" w:cs="Times New Roman"/>
          <w:sz w:val="32"/>
          <w:szCs w:val="32"/>
          <w14:ligatures w14:val="standardContextual"/>
        </w:rPr>
        <w:t>，</w:t>
      </w:r>
      <w:r>
        <w:rPr>
          <w:rFonts w:hint="eastAsia" w:ascii="Times New Roman" w:hAnsi="Times New Roman" w:eastAsia="仿宋_GB2312" w:cs="Times New Roman"/>
          <w:sz w:val="32"/>
          <w:szCs w:val="32"/>
          <w14:ligatures w14:val="standardContextual"/>
        </w:rPr>
        <w:t>完成</w:t>
      </w:r>
      <w:r>
        <w:rPr>
          <w:rFonts w:ascii="Times New Roman" w:hAnsi="Times New Roman" w:eastAsia="仿宋_GB2312" w:cs="Times New Roman"/>
          <w:sz w:val="32"/>
          <w:szCs w:val="32"/>
          <w14:ligatures w14:val="standardContextual"/>
        </w:rPr>
        <w:t>3家社区中医特色专病门诊建设</w:t>
      </w:r>
      <w:r>
        <w:rPr>
          <w:rFonts w:hint="eastAsia" w:ascii="Times New Roman" w:hAnsi="Times New Roman" w:eastAsia="仿宋_GB2312" w:cs="Times New Roman"/>
          <w:sz w:val="32"/>
          <w:szCs w:val="32"/>
          <w14:ligatures w14:val="standardContextual"/>
        </w:rPr>
        <w:t>验收</w:t>
      </w:r>
      <w:r>
        <w:rPr>
          <w:rFonts w:ascii="Times New Roman" w:hAnsi="Times New Roman" w:eastAsia="仿宋_GB2312" w:cs="Times New Roman"/>
          <w:sz w:val="32"/>
          <w:szCs w:val="32"/>
          <w14:ligatures w14:val="standardContextual"/>
        </w:rPr>
        <w:t>。</w:t>
      </w:r>
      <w:r>
        <w:rPr>
          <w:rFonts w:hint="eastAsia" w:ascii="Times New Roman" w:hAnsi="Times New Roman" w:eastAsia="仿宋_GB2312" w:cs="Times New Roman"/>
          <w:sz w:val="32"/>
          <w:szCs w:val="32"/>
          <w14:ligatures w14:val="standardContextual"/>
        </w:rPr>
        <w:t>区中医医院</w:t>
      </w:r>
      <w:r>
        <w:rPr>
          <w:rFonts w:ascii="Times New Roman" w:hAnsi="Times New Roman" w:eastAsia="仿宋_GB2312" w:cs="Times New Roman"/>
          <w:sz w:val="32"/>
          <w:szCs w:val="32"/>
          <w14:ligatures w14:val="standardContextual"/>
        </w:rPr>
        <w:t>竿山何氏中医文化传承基地入选第三批上海市健康科普文化基地</w:t>
      </w:r>
      <w:r>
        <w:rPr>
          <w:rFonts w:hint="eastAsia" w:ascii="Times New Roman" w:hAnsi="Times New Roman" w:eastAsia="仿宋_GB2312" w:cs="Times New Roman"/>
          <w:sz w:val="32"/>
          <w:szCs w:val="32"/>
          <w14:ligatures w14:val="standardContextual"/>
        </w:rPr>
        <w:t>、</w:t>
      </w:r>
      <w:r>
        <w:rPr>
          <w:rFonts w:ascii="Times New Roman" w:hAnsi="Times New Roman" w:eastAsia="仿宋_GB2312" w:cs="Times New Roman"/>
          <w:sz w:val="32"/>
          <w:szCs w:val="32"/>
          <w14:ligatures w14:val="standardContextual"/>
        </w:rPr>
        <w:t>冯绍中工作室获</w:t>
      </w:r>
      <w:r>
        <w:rPr>
          <w:rFonts w:hint="eastAsia" w:ascii="仿宋_GB2312" w:hAnsi="Times New Roman" w:eastAsia="仿宋_GB2312" w:cs="Times New Roman"/>
          <w:sz w:val="32"/>
          <w:szCs w:val="32"/>
          <w14:ligatures w14:val="standardContextual"/>
        </w:rPr>
        <w:t>“上海市基层名老中医传承工作室”</w:t>
      </w:r>
      <w:r>
        <w:rPr>
          <w:rFonts w:ascii="Times New Roman" w:hAnsi="Times New Roman" w:eastAsia="仿宋_GB2312" w:cs="Times New Roman"/>
          <w:sz w:val="32"/>
          <w:szCs w:val="32"/>
          <w14:ligatures w14:val="standardContextual"/>
        </w:rPr>
        <w:t>称号。</w:t>
      </w:r>
    </w:p>
    <w:p w14:paraId="0D63BAE4">
      <w:pPr>
        <w:pStyle w:val="3"/>
        <w:spacing w:line="560" w:lineRule="exact"/>
      </w:pPr>
      <w:bookmarkStart w:id="22" w:name="_Toc12883"/>
      <w:r>
        <w:t>（二）公共卫生服务能力不断提高</w:t>
      </w:r>
      <w:bookmarkEnd w:id="22"/>
    </w:p>
    <w:p w14:paraId="4844993C">
      <w:pPr>
        <w:adjustRightInd w:val="0"/>
        <w:snapToGrid w:val="0"/>
        <w:spacing w:line="560" w:lineRule="exact"/>
        <w:ind w:firstLine="643" w:firstLineChars="200"/>
        <w:rPr>
          <w:rFonts w:ascii="Times New Roman" w:hAnsi="Times New Roman" w:eastAsia="仿宋_GB2312" w:cs="Times New Roman"/>
          <w:sz w:val="32"/>
          <w:szCs w:val="32"/>
          <w14:ligatures w14:val="standardContextual"/>
        </w:rPr>
      </w:pPr>
      <w:r>
        <w:rPr>
          <w:rFonts w:hint="eastAsia" w:ascii="Times New Roman" w:hAnsi="Times New Roman" w:eastAsia="仿宋_GB2312" w:cs="Times New Roman"/>
          <w:b/>
          <w:bCs/>
          <w:sz w:val="32"/>
          <w:szCs w:val="32"/>
          <w14:ligatures w14:val="standardContextual"/>
        </w:rPr>
        <w:t>1.</w:t>
      </w:r>
      <w:r>
        <w:rPr>
          <w:rFonts w:ascii="Times New Roman" w:hAnsi="Times New Roman" w:eastAsia="仿宋_GB2312" w:cs="Times New Roman"/>
          <w:b/>
          <w:bCs/>
          <w:sz w:val="32"/>
          <w:szCs w:val="32"/>
          <w14:ligatures w14:val="standardContextual"/>
        </w:rPr>
        <w:t>监测预警和应急处置能力不断强化。</w:t>
      </w:r>
      <w:bookmarkStart w:id="23" w:name="OLE_LINK5"/>
      <w:bookmarkStart w:id="24" w:name="OLE_LINK35"/>
      <w:r>
        <w:rPr>
          <w:rFonts w:hint="eastAsia" w:ascii="Times New Roman" w:hAnsi="Times New Roman" w:eastAsia="仿宋_GB2312" w:cs="Times New Roman"/>
          <w:sz w:val="32"/>
          <w:szCs w:val="32"/>
          <w14:ligatures w14:val="standardContextual"/>
        </w:rPr>
        <w:t>建成</w:t>
      </w:r>
      <w:r>
        <w:rPr>
          <w:rFonts w:ascii="Times New Roman" w:hAnsi="Times New Roman" w:eastAsia="仿宋_GB2312" w:cs="Times New Roman"/>
          <w:sz w:val="32"/>
          <w:szCs w:val="32"/>
          <w14:ligatures w14:val="standardContextual"/>
        </w:rPr>
        <w:t>集区疾控中心（区卫监所）、区急救中心和区应急指挥中心</w:t>
      </w:r>
      <w:r>
        <w:rPr>
          <w:rFonts w:hint="eastAsia" w:ascii="Times New Roman" w:hAnsi="Times New Roman" w:eastAsia="仿宋_GB2312" w:cs="Times New Roman"/>
          <w:sz w:val="32"/>
          <w:szCs w:val="32"/>
          <w14:ligatures w14:val="standardContextual"/>
        </w:rPr>
        <w:t>于一体</w:t>
      </w:r>
      <w:r>
        <w:rPr>
          <w:rFonts w:ascii="Times New Roman" w:hAnsi="Times New Roman" w:eastAsia="仿宋_GB2312" w:cs="Times New Roman"/>
          <w:sz w:val="32"/>
          <w:szCs w:val="32"/>
          <w14:ligatures w14:val="standardContextual"/>
        </w:rPr>
        <w:t>的</w:t>
      </w:r>
      <w:r>
        <w:rPr>
          <w:rFonts w:hint="eastAsia" w:ascii="Times New Roman" w:hAnsi="Times New Roman" w:eastAsia="仿宋_GB2312" w:cs="Times New Roman"/>
          <w:sz w:val="32"/>
          <w:szCs w:val="32"/>
          <w14:ligatures w14:val="standardContextual"/>
        </w:rPr>
        <w:t>区公共卫生</w:t>
      </w:r>
      <w:r>
        <w:rPr>
          <w:rFonts w:ascii="Times New Roman" w:hAnsi="Times New Roman" w:eastAsia="仿宋_GB2312" w:cs="Times New Roman"/>
          <w:sz w:val="32"/>
          <w:szCs w:val="32"/>
          <w14:ligatures w14:val="standardContextual"/>
        </w:rPr>
        <w:t>中心，</w:t>
      </w:r>
      <w:bookmarkEnd w:id="23"/>
      <w:r>
        <w:rPr>
          <w:rFonts w:ascii="Times New Roman" w:hAnsi="Times New Roman" w:eastAsia="仿宋_GB2312" w:cs="Times New Roman"/>
          <w:sz w:val="32"/>
          <w:szCs w:val="32"/>
          <w14:ligatures w14:val="standardContextual"/>
        </w:rPr>
        <w:t>实验室</w:t>
      </w:r>
      <w:r>
        <w:rPr>
          <w:rFonts w:hint="eastAsia" w:ascii="Times New Roman" w:hAnsi="Times New Roman" w:eastAsia="仿宋_GB2312" w:cs="Times New Roman"/>
          <w:sz w:val="32"/>
          <w:szCs w:val="32"/>
          <w14:ligatures w14:val="standardContextual"/>
        </w:rPr>
        <w:t>空间和</w:t>
      </w:r>
      <w:r>
        <w:rPr>
          <w:rFonts w:ascii="Times New Roman" w:hAnsi="Times New Roman" w:eastAsia="仿宋_GB2312" w:cs="Times New Roman"/>
          <w:sz w:val="32"/>
          <w:szCs w:val="32"/>
          <w14:ligatures w14:val="standardContextual"/>
        </w:rPr>
        <w:t>检测参数</w:t>
      </w:r>
      <w:r>
        <w:rPr>
          <w:rFonts w:hint="eastAsia" w:ascii="Times New Roman" w:hAnsi="Times New Roman" w:eastAsia="仿宋_GB2312" w:cs="Times New Roman"/>
          <w:sz w:val="32"/>
          <w:szCs w:val="32"/>
          <w14:ligatures w14:val="standardContextual"/>
        </w:rPr>
        <w:t>等显著提升</w:t>
      </w:r>
      <w:r>
        <w:rPr>
          <w:rFonts w:ascii="Times New Roman" w:hAnsi="Times New Roman" w:eastAsia="仿宋_GB2312" w:cs="Times New Roman"/>
          <w:sz w:val="32"/>
          <w:szCs w:val="32"/>
          <w14:ligatures w14:val="standardContextual"/>
        </w:rPr>
        <w:t>。</w:t>
      </w:r>
      <w:bookmarkStart w:id="25" w:name="OLE_LINK34"/>
      <w:r>
        <w:rPr>
          <w:rFonts w:ascii="Times New Roman" w:hAnsi="Times New Roman" w:eastAsia="仿宋_GB2312" w:cs="Times New Roman"/>
          <w:sz w:val="32"/>
          <w:szCs w:val="32"/>
          <w14:ligatures w14:val="standardContextual"/>
        </w:rPr>
        <w:t>完善区域传染病疫情风险评估</w:t>
      </w:r>
      <w:r>
        <w:rPr>
          <w:rFonts w:hint="eastAsia" w:ascii="Times New Roman" w:hAnsi="Times New Roman" w:eastAsia="仿宋_GB2312" w:cs="Times New Roman"/>
          <w:sz w:val="32"/>
          <w:szCs w:val="32"/>
          <w14:ligatures w14:val="standardContextual"/>
        </w:rPr>
        <w:t>机制</w:t>
      </w:r>
      <w:r>
        <w:rPr>
          <w:rFonts w:ascii="Times New Roman" w:hAnsi="Times New Roman" w:eastAsia="仿宋_GB2312" w:cs="Times New Roman"/>
          <w:sz w:val="32"/>
          <w:szCs w:val="32"/>
          <w14:ligatures w14:val="standardContextual"/>
        </w:rPr>
        <w:t>，完成</w:t>
      </w:r>
      <w:r>
        <w:rPr>
          <w:rFonts w:hint="eastAsia" w:ascii="Times New Roman" w:hAnsi="Times New Roman" w:eastAsia="仿宋_GB2312" w:cs="Times New Roman"/>
          <w:sz w:val="32"/>
          <w:szCs w:val="32"/>
          <w14:ligatures w14:val="standardContextual"/>
        </w:rPr>
        <w:t>公立医疗机构</w:t>
      </w:r>
      <w:r>
        <w:rPr>
          <w:rFonts w:ascii="Times New Roman" w:hAnsi="Times New Roman" w:eastAsia="仿宋_GB2312" w:cs="Times New Roman"/>
          <w:sz w:val="32"/>
          <w:szCs w:val="32"/>
          <w14:ligatures w14:val="standardContextual"/>
        </w:rPr>
        <w:t>传染病监测前置软件</w:t>
      </w:r>
      <w:r>
        <w:rPr>
          <w:rFonts w:hint="eastAsia" w:ascii="Times New Roman" w:hAnsi="Times New Roman" w:eastAsia="仿宋_GB2312" w:cs="Times New Roman"/>
          <w:sz w:val="32"/>
          <w:szCs w:val="32"/>
          <w14:ligatures w14:val="standardContextual"/>
        </w:rPr>
        <w:t>全覆盖应用</w:t>
      </w:r>
      <w:r>
        <w:rPr>
          <w:rFonts w:ascii="Times New Roman" w:hAnsi="Times New Roman" w:eastAsia="仿宋_GB2312" w:cs="Times New Roman"/>
          <w:sz w:val="32"/>
          <w:szCs w:val="32"/>
          <w14:ligatures w14:val="standardContextual"/>
        </w:rPr>
        <w:t>。</w:t>
      </w:r>
      <w:bookmarkEnd w:id="24"/>
      <w:bookmarkEnd w:id="25"/>
      <w:bookmarkStart w:id="26" w:name="OLE_LINK33"/>
      <w:r>
        <w:rPr>
          <w:rFonts w:ascii="Times New Roman" w:hAnsi="Times New Roman" w:eastAsia="仿宋_GB2312" w:cs="Times New Roman"/>
          <w:sz w:val="32"/>
          <w:szCs w:val="32"/>
          <w14:ligatures w14:val="standardContextual"/>
        </w:rPr>
        <w:t>基层传染病应急队伍建设进一步加强，组建区级、社区级和医疗机构基层传染病应急队伍</w:t>
      </w:r>
      <w:bookmarkEnd w:id="26"/>
      <w:r>
        <w:rPr>
          <w:rFonts w:ascii="Times New Roman" w:hAnsi="Times New Roman" w:eastAsia="仿宋_GB2312" w:cs="Times New Roman"/>
          <w:sz w:val="32"/>
          <w:szCs w:val="32"/>
          <w14:ligatures w14:val="standardContextual"/>
        </w:rPr>
        <w:t>。医疗救治体系进一步优化，</w:t>
      </w:r>
      <w:r>
        <w:rPr>
          <w:rFonts w:hint="eastAsia" w:ascii="Times New Roman" w:hAnsi="Times New Roman" w:eastAsia="仿宋_GB2312" w:cs="Times New Roman"/>
          <w:sz w:val="32"/>
          <w:szCs w:val="32"/>
          <w14:ligatures w14:val="standardContextual"/>
        </w:rPr>
        <w:t>建立完善“1+14”院前急救网络，扎实推进紧急医学救援体系建设，加强</w:t>
      </w:r>
      <w:r>
        <w:rPr>
          <w:rFonts w:ascii="Times New Roman" w:hAnsi="Times New Roman" w:eastAsia="仿宋_GB2312" w:cs="Times New Roman"/>
          <w:sz w:val="32"/>
          <w:szCs w:val="32"/>
          <w14:ligatures w14:val="standardContextual"/>
        </w:rPr>
        <w:t>自动体外除颤器</w:t>
      </w:r>
      <w:r>
        <w:rPr>
          <w:rFonts w:hint="eastAsia" w:ascii="Times New Roman" w:hAnsi="Times New Roman" w:eastAsia="仿宋_GB2312" w:cs="Times New Roman"/>
          <w:sz w:val="32"/>
          <w:szCs w:val="32"/>
          <w14:ligatures w14:val="standardContextual"/>
        </w:rPr>
        <w:t>（</w:t>
      </w:r>
      <w:r>
        <w:rPr>
          <w:rFonts w:ascii="Times New Roman" w:hAnsi="Times New Roman" w:eastAsia="仿宋_GB2312" w:cs="Times New Roman"/>
          <w:sz w:val="32"/>
          <w:szCs w:val="32"/>
          <w14:ligatures w14:val="standardContextual"/>
        </w:rPr>
        <w:t>AED</w:t>
      </w:r>
      <w:r>
        <w:rPr>
          <w:rFonts w:hint="eastAsia" w:ascii="Times New Roman" w:hAnsi="Times New Roman" w:eastAsia="仿宋_GB2312" w:cs="Times New Roman"/>
          <w:sz w:val="32"/>
          <w:szCs w:val="32"/>
          <w14:ligatures w14:val="standardContextual"/>
        </w:rPr>
        <w:t>）配置及管理，组建2支区级应急医疗队、4支应急背囊分队</w:t>
      </w:r>
      <w:r>
        <w:rPr>
          <w:rFonts w:ascii="Times New Roman" w:hAnsi="Times New Roman" w:eastAsia="仿宋_GB2312" w:cs="Times New Roman"/>
          <w:sz w:val="32"/>
          <w:szCs w:val="32"/>
          <w14:ligatures w14:val="standardContextual"/>
        </w:rPr>
        <w:t>。</w:t>
      </w:r>
      <w:r>
        <w:rPr>
          <w:rFonts w:hint="eastAsia" w:ascii="Times New Roman" w:hAnsi="Times New Roman" w:eastAsia="仿宋_GB2312" w:cs="Times New Roman"/>
          <w:sz w:val="32"/>
          <w:szCs w:val="32"/>
          <w14:ligatures w14:val="standardContextual"/>
        </w:rPr>
        <w:t>采供血工作持续强化，连续5年超额完成采血任务。持续做好</w:t>
      </w:r>
      <w:r>
        <w:rPr>
          <w:rFonts w:ascii="Times New Roman" w:hAnsi="Times New Roman" w:eastAsia="仿宋_GB2312" w:cs="Times New Roman"/>
          <w:sz w:val="32"/>
          <w:szCs w:val="32"/>
          <w14:ligatures w14:val="standardContextual"/>
        </w:rPr>
        <w:t>进博会医疗卫生保障</w:t>
      </w:r>
      <w:r>
        <w:rPr>
          <w:rFonts w:hint="eastAsia" w:ascii="Times New Roman" w:hAnsi="Times New Roman" w:eastAsia="仿宋_GB2312" w:cs="Times New Roman"/>
          <w:sz w:val="32"/>
          <w:szCs w:val="32"/>
          <w14:ligatures w14:val="standardContextual"/>
        </w:rPr>
        <w:t>。</w:t>
      </w:r>
    </w:p>
    <w:p w14:paraId="6C47F266">
      <w:pPr>
        <w:adjustRightInd w:val="0"/>
        <w:snapToGrid w:val="0"/>
        <w:spacing w:line="560" w:lineRule="exact"/>
        <w:ind w:firstLine="643" w:firstLineChars="200"/>
        <w:rPr>
          <w:rFonts w:ascii="Times New Roman" w:hAnsi="Times New Roman" w:eastAsia="仿宋_GB2312" w:cs="Times New Roman"/>
          <w:sz w:val="32"/>
          <w:szCs w:val="32"/>
          <w14:ligatures w14:val="standardContextual"/>
        </w:rPr>
      </w:pPr>
      <w:bookmarkStart w:id="27" w:name="OLE_LINK37"/>
      <w:r>
        <w:rPr>
          <w:rFonts w:hint="eastAsia" w:ascii="Times New Roman" w:hAnsi="Times New Roman" w:eastAsia="仿宋_GB2312" w:cs="Times New Roman"/>
          <w:b/>
          <w:bCs/>
          <w:sz w:val="32"/>
          <w:szCs w:val="32"/>
          <w14:ligatures w14:val="standardContextual"/>
        </w:rPr>
        <w:t>2.</w:t>
      </w:r>
      <w:r>
        <w:rPr>
          <w:rFonts w:ascii="Times New Roman" w:hAnsi="Times New Roman" w:eastAsia="仿宋_GB2312" w:cs="Times New Roman"/>
          <w:b/>
          <w:bCs/>
          <w:sz w:val="32"/>
          <w:szCs w:val="32"/>
          <w14:ligatures w14:val="standardContextual"/>
        </w:rPr>
        <w:t>疾病预防控制水平持续提升。</w:t>
      </w:r>
      <w:r>
        <w:rPr>
          <w:rFonts w:ascii="Times New Roman" w:hAnsi="Times New Roman" w:eastAsia="仿宋_GB2312" w:cs="Times New Roman"/>
          <w:sz w:val="32"/>
          <w:szCs w:val="32"/>
          <w14:ligatures w14:val="standardContextual"/>
        </w:rPr>
        <w:t>顺利完成第五轮</w:t>
      </w:r>
      <w:r>
        <w:rPr>
          <w:rFonts w:hint="eastAsia" w:ascii="Times New Roman" w:hAnsi="Times New Roman" w:eastAsia="仿宋_GB2312" w:cs="Times New Roman"/>
          <w:sz w:val="32"/>
          <w:szCs w:val="32"/>
          <w14:ligatures w14:val="standardContextual"/>
        </w:rPr>
        <w:t>和第六轮</w:t>
      </w:r>
      <w:r>
        <w:rPr>
          <w:rFonts w:ascii="Times New Roman" w:hAnsi="Times New Roman" w:eastAsia="仿宋_GB2312" w:cs="Times New Roman"/>
          <w:sz w:val="32"/>
          <w:szCs w:val="32"/>
          <w14:ligatures w14:val="standardContextual"/>
        </w:rPr>
        <w:t>公共卫生三年行动计划，作为上海</w:t>
      </w:r>
      <w:r>
        <w:rPr>
          <w:rFonts w:hint="eastAsia" w:ascii="Times New Roman" w:hAnsi="Times New Roman" w:eastAsia="仿宋_GB2312" w:cs="Times New Roman"/>
          <w:sz w:val="32"/>
          <w:szCs w:val="32"/>
          <w14:ligatures w14:val="standardContextual"/>
        </w:rPr>
        <w:t>首批</w:t>
      </w:r>
      <w:r>
        <w:rPr>
          <w:rFonts w:ascii="Times New Roman" w:hAnsi="Times New Roman" w:eastAsia="仿宋_GB2312" w:cs="Times New Roman"/>
          <w:sz w:val="32"/>
          <w:szCs w:val="32"/>
          <w14:ligatures w14:val="standardContextual"/>
        </w:rPr>
        <w:t>代表启动传染病防控医防协同医防融合国家试点</w:t>
      </w:r>
      <w:r>
        <w:rPr>
          <w:rFonts w:hint="eastAsia" w:ascii="Times New Roman" w:hAnsi="Times New Roman" w:eastAsia="仿宋_GB2312" w:cs="Times New Roman"/>
          <w:sz w:val="32"/>
          <w:szCs w:val="32"/>
          <w14:ligatures w14:val="standardContextual"/>
        </w:rPr>
        <w:t>城市建设</w:t>
      </w:r>
      <w:r>
        <w:rPr>
          <w:rFonts w:ascii="Times New Roman" w:hAnsi="Times New Roman" w:eastAsia="仿宋_GB2312" w:cs="Times New Roman"/>
          <w:sz w:val="32"/>
          <w:szCs w:val="32"/>
          <w14:ligatures w14:val="standardContextual"/>
        </w:rPr>
        <w:t>。</w:t>
      </w:r>
      <w:bookmarkEnd w:id="27"/>
      <w:bookmarkStart w:id="28" w:name="OLE_LINK53"/>
      <w:r>
        <w:rPr>
          <w:rFonts w:ascii="Times New Roman" w:hAnsi="Times New Roman" w:eastAsia="仿宋_GB2312" w:cs="Times New Roman"/>
          <w:sz w:val="32"/>
          <w:szCs w:val="32"/>
          <w14:ligatures w14:val="standardContextual"/>
        </w:rPr>
        <w:t>开展老年人糖尿病、脑卒中、大肠癌等社区筛查，医疗与养老机构逐步整合或邻近设置，全区11家医养结合机构设立护理院8个、</w:t>
      </w:r>
      <w:r>
        <w:rPr>
          <w:rFonts w:hint="eastAsia" w:ascii="Times New Roman" w:hAnsi="Times New Roman" w:eastAsia="仿宋_GB2312" w:cs="Times New Roman"/>
          <w:sz w:val="32"/>
          <w:szCs w:val="32"/>
          <w14:ligatures w14:val="standardContextual"/>
        </w:rPr>
        <w:t>医务室</w:t>
      </w:r>
      <w:r>
        <w:rPr>
          <w:rFonts w:ascii="Times New Roman" w:hAnsi="Times New Roman" w:eastAsia="仿宋_GB2312" w:cs="Times New Roman"/>
          <w:sz w:val="32"/>
          <w:szCs w:val="32"/>
          <w14:ligatures w14:val="standardContextual"/>
        </w:rPr>
        <w:t>3个，均纳入医保定点。</w:t>
      </w:r>
      <w:bookmarkEnd w:id="28"/>
      <w:r>
        <w:rPr>
          <w:rFonts w:ascii="Times New Roman" w:hAnsi="Times New Roman" w:eastAsia="仿宋_GB2312" w:cs="Times New Roman"/>
          <w:sz w:val="32"/>
          <w:szCs w:val="32"/>
          <w14:ligatures w14:val="standardContextual"/>
        </w:rPr>
        <w:t>国家慢性病综合防控示范区建设深入推进，积极推进慢性肝炎及肝癌高风险人群筛查，形成</w:t>
      </w:r>
      <w:r>
        <w:rPr>
          <w:rFonts w:hint="eastAsia" w:ascii="仿宋_GB2312" w:hAnsi="Times New Roman" w:eastAsia="仿宋_GB2312" w:cs="Times New Roman"/>
          <w:sz w:val="32"/>
          <w:szCs w:val="32"/>
          <w14:ligatures w14:val="standardContextual"/>
        </w:rPr>
        <w:t>“社区首诊、梯度转诊、分级诊疗、双向转诊”的</w:t>
      </w:r>
      <w:r>
        <w:rPr>
          <w:rFonts w:ascii="Times New Roman" w:hAnsi="Times New Roman" w:eastAsia="仿宋_GB2312" w:cs="Times New Roman"/>
          <w:sz w:val="32"/>
          <w:szCs w:val="32"/>
          <w14:ligatures w14:val="standardContextual"/>
        </w:rPr>
        <w:t>慢乙肝和肝癌分层诊疗机制。开展第五轮</w:t>
      </w:r>
      <w:r>
        <w:rPr>
          <w:rFonts w:hint="eastAsia" w:ascii="Times New Roman" w:hAnsi="Times New Roman" w:eastAsia="仿宋_GB2312" w:cs="Times New Roman"/>
          <w:sz w:val="32"/>
          <w:szCs w:val="32"/>
          <w14:ligatures w14:val="standardContextual"/>
        </w:rPr>
        <w:t>全</w:t>
      </w:r>
      <w:r>
        <w:rPr>
          <w:rFonts w:ascii="Times New Roman" w:hAnsi="Times New Roman" w:eastAsia="仿宋_GB2312" w:cs="Times New Roman"/>
          <w:sz w:val="32"/>
          <w:szCs w:val="32"/>
          <w14:ligatures w14:val="standardContextual"/>
        </w:rPr>
        <w:t>国艾滋病综合防治示范区建设和无结核社区建设，在香花桥</w:t>
      </w:r>
      <w:r>
        <w:rPr>
          <w:rFonts w:hint="eastAsia" w:ascii="Times New Roman" w:hAnsi="Times New Roman" w:eastAsia="仿宋_GB2312" w:cs="Times New Roman"/>
          <w:sz w:val="32"/>
          <w:szCs w:val="32"/>
          <w14:ligatures w14:val="standardContextual"/>
        </w:rPr>
        <w:t>街道</w:t>
      </w:r>
      <w:r>
        <w:rPr>
          <w:rFonts w:ascii="Times New Roman" w:hAnsi="Times New Roman" w:eastAsia="仿宋_GB2312" w:cs="Times New Roman"/>
          <w:sz w:val="32"/>
          <w:szCs w:val="32"/>
          <w14:ligatures w14:val="standardContextual"/>
        </w:rPr>
        <w:t>试点推进重大慢性传染病多病联防工作。</w:t>
      </w:r>
    </w:p>
    <w:p w14:paraId="47E8B2C2">
      <w:pPr>
        <w:adjustRightInd w:val="0"/>
        <w:snapToGrid w:val="0"/>
        <w:spacing w:line="560" w:lineRule="exact"/>
        <w:ind w:firstLine="643" w:firstLineChars="200"/>
        <w:rPr>
          <w:rFonts w:ascii="Times New Roman" w:hAnsi="Times New Roman" w:eastAsia="仿宋_GB2312" w:cs="Times New Roman"/>
          <w:sz w:val="32"/>
          <w:szCs w:val="32"/>
          <w14:ligatures w14:val="standardContextual"/>
        </w:rPr>
      </w:pPr>
      <w:r>
        <w:rPr>
          <w:rFonts w:hint="eastAsia" w:ascii="Times New Roman" w:hAnsi="Times New Roman" w:eastAsia="仿宋_GB2312" w:cs="Times New Roman"/>
          <w:b/>
          <w:bCs/>
          <w:sz w:val="32"/>
          <w:szCs w:val="32"/>
        </w:rPr>
        <w:t>3.健康青浦建设和</w:t>
      </w:r>
      <w:r>
        <w:rPr>
          <w:rFonts w:ascii="Times New Roman" w:hAnsi="Times New Roman" w:eastAsia="仿宋_GB2312" w:cs="Times New Roman"/>
          <w:b/>
          <w:bCs/>
          <w:sz w:val="32"/>
          <w:szCs w:val="32"/>
        </w:rPr>
        <w:t>爱国卫生</w:t>
      </w:r>
      <w:r>
        <w:rPr>
          <w:rFonts w:hint="eastAsia" w:ascii="Times New Roman" w:hAnsi="Times New Roman" w:eastAsia="仿宋_GB2312" w:cs="Times New Roman"/>
          <w:b/>
          <w:bCs/>
          <w:sz w:val="32"/>
          <w:szCs w:val="32"/>
        </w:rPr>
        <w:t>工作</w:t>
      </w:r>
      <w:r>
        <w:rPr>
          <w:rFonts w:ascii="Times New Roman" w:hAnsi="Times New Roman" w:eastAsia="仿宋_GB2312" w:cs="Times New Roman"/>
          <w:b/>
          <w:bCs/>
          <w:sz w:val="32"/>
          <w:szCs w:val="32"/>
        </w:rPr>
        <w:t>深入推进。</w:t>
      </w:r>
      <w:r>
        <w:rPr>
          <w:rFonts w:ascii="Times New Roman" w:hAnsi="Times New Roman" w:eastAsia="仿宋_GB2312" w:cs="Times New Roman"/>
          <w:sz w:val="32"/>
          <w:szCs w:val="32"/>
          <w14:ligatures w14:val="standardContextual"/>
        </w:rPr>
        <w:t>成立区爱国卫生和健康促进</w:t>
      </w:r>
      <w:r>
        <w:rPr>
          <w:rFonts w:hint="eastAsia" w:ascii="Times New Roman" w:hAnsi="Times New Roman" w:eastAsia="仿宋_GB2312" w:cs="Times New Roman"/>
          <w:sz w:val="32"/>
          <w:szCs w:val="32"/>
          <w14:ligatures w14:val="standardContextual"/>
        </w:rPr>
        <w:t>指导</w:t>
      </w:r>
      <w:r>
        <w:rPr>
          <w:rFonts w:ascii="Times New Roman" w:hAnsi="Times New Roman" w:eastAsia="仿宋_GB2312" w:cs="Times New Roman"/>
          <w:sz w:val="32"/>
          <w:szCs w:val="32"/>
          <w14:ligatures w14:val="standardContextual"/>
        </w:rPr>
        <w:t>中心</w:t>
      </w:r>
      <w:bookmarkStart w:id="29" w:name="OLE_LINK10"/>
      <w:bookmarkStart w:id="30" w:name="OLE_LINK25"/>
      <w:r>
        <w:rPr>
          <w:rFonts w:hint="eastAsia" w:ascii="Times New Roman" w:hAnsi="Times New Roman" w:eastAsia="仿宋_GB2312" w:cs="Times New Roman"/>
          <w:sz w:val="32"/>
          <w:szCs w:val="32"/>
          <w14:ligatures w14:val="standardContextual"/>
        </w:rPr>
        <w:t>，顺利通过国家健康促进区建设和国家卫生区镇复审，入选“2022年度全国健康城市建设样板市”，卫生健康街镇建设获市级表扬</w:t>
      </w:r>
      <w:bookmarkEnd w:id="29"/>
      <w:bookmarkEnd w:id="30"/>
      <w:bookmarkStart w:id="31" w:name="OLE_LINK46"/>
      <w:r>
        <w:rPr>
          <w:rFonts w:ascii="Times New Roman" w:hAnsi="Times New Roman" w:eastAsia="仿宋_GB2312" w:cs="Times New Roman"/>
          <w:sz w:val="32"/>
          <w:szCs w:val="32"/>
          <w14:ligatures w14:val="standardContextual"/>
        </w:rPr>
        <w:t>。</w:t>
      </w:r>
      <w:bookmarkEnd w:id="31"/>
      <w:r>
        <w:rPr>
          <w:rFonts w:hint="eastAsia" w:ascii="Times New Roman" w:hAnsi="Times New Roman" w:eastAsia="仿宋_GB2312" w:cs="Times New Roman"/>
          <w:sz w:val="32"/>
          <w:szCs w:val="32"/>
          <w14:ligatures w14:val="standardContextual"/>
        </w:rPr>
        <w:t>积极开展</w:t>
      </w:r>
      <w:bookmarkStart w:id="32" w:name="OLE_LINK52"/>
      <w:r>
        <w:rPr>
          <w:rFonts w:ascii="Times New Roman" w:hAnsi="Times New Roman" w:eastAsia="仿宋_GB2312" w:cs="Times New Roman"/>
          <w:sz w:val="32"/>
          <w:szCs w:val="32"/>
          <w14:ligatures w14:val="standardContextual"/>
        </w:rPr>
        <w:t>健康青浦行动</w:t>
      </w:r>
      <w:bookmarkEnd w:id="32"/>
      <w:r>
        <w:rPr>
          <w:rFonts w:hint="eastAsia" w:ascii="Times New Roman" w:hAnsi="Times New Roman" w:eastAsia="仿宋_GB2312" w:cs="Times New Roman"/>
          <w:sz w:val="32"/>
          <w:szCs w:val="32"/>
          <w14:ligatures w14:val="standardContextual"/>
        </w:rPr>
        <w:t>专项项目（2022-2024）</w:t>
      </w:r>
      <w:r>
        <w:rPr>
          <w:rFonts w:ascii="Times New Roman" w:hAnsi="Times New Roman" w:eastAsia="仿宋_GB2312" w:cs="Times New Roman"/>
          <w:sz w:val="32"/>
          <w:szCs w:val="32"/>
          <w14:ligatures w14:val="standardContextual"/>
        </w:rPr>
        <w:t>，</w:t>
      </w:r>
      <w:bookmarkStart w:id="33" w:name="OLE_LINK48"/>
      <w:r>
        <w:rPr>
          <w:rFonts w:ascii="Times New Roman" w:hAnsi="Times New Roman" w:eastAsia="仿宋_GB2312" w:cs="Times New Roman"/>
          <w:sz w:val="32"/>
          <w:szCs w:val="32"/>
          <w14:ligatures w14:val="standardContextual"/>
        </w:rPr>
        <w:t>持续</w:t>
      </w:r>
      <w:r>
        <w:rPr>
          <w:rFonts w:hint="eastAsia" w:ascii="Times New Roman" w:hAnsi="Times New Roman" w:eastAsia="仿宋_GB2312" w:cs="Times New Roman"/>
          <w:sz w:val="32"/>
          <w:szCs w:val="32"/>
          <w14:ligatures w14:val="standardContextual"/>
        </w:rPr>
        <w:t>加强</w:t>
      </w:r>
      <w:r>
        <w:rPr>
          <w:rFonts w:ascii="Times New Roman" w:hAnsi="Times New Roman" w:eastAsia="仿宋_GB2312" w:cs="Times New Roman"/>
          <w:sz w:val="32"/>
          <w:szCs w:val="32"/>
          <w14:ligatures w14:val="standardContextual"/>
        </w:rPr>
        <w:t>健康</w:t>
      </w:r>
      <w:r>
        <w:rPr>
          <w:rFonts w:hint="eastAsia" w:ascii="Times New Roman" w:hAnsi="Times New Roman" w:eastAsia="仿宋_GB2312" w:cs="Times New Roman"/>
          <w:sz w:val="32"/>
          <w:szCs w:val="32"/>
          <w14:ligatures w14:val="standardContextual"/>
        </w:rPr>
        <w:t>细胞建设</w:t>
      </w:r>
      <w:r>
        <w:rPr>
          <w:rFonts w:ascii="Times New Roman" w:hAnsi="Times New Roman" w:eastAsia="仿宋_GB2312" w:cs="Times New Roman"/>
          <w:sz w:val="32"/>
          <w:szCs w:val="32"/>
          <w14:ligatures w14:val="standardContextual"/>
        </w:rPr>
        <w:t>。</w:t>
      </w:r>
      <w:bookmarkEnd w:id="33"/>
      <w:r>
        <w:rPr>
          <w:rFonts w:ascii="Times New Roman" w:hAnsi="Times New Roman" w:eastAsia="仿宋_GB2312" w:cs="Times New Roman"/>
          <w:sz w:val="32"/>
          <w:szCs w:val="32"/>
          <w14:ligatures w14:val="standardContextual"/>
        </w:rPr>
        <w:t>健康促进积分管理纳入《上海市爱国卫生与健康促进条例》内容，入选市级试点，</w:t>
      </w:r>
      <w:bookmarkStart w:id="34" w:name="OLE_LINK12"/>
      <w:r>
        <w:rPr>
          <w:rFonts w:hint="eastAsia" w:ascii="Times New Roman" w:hAnsi="Times New Roman" w:eastAsia="仿宋_GB2312" w:cs="Times New Roman"/>
          <w:sz w:val="32"/>
          <w:szCs w:val="32"/>
          <w14:ligatures w14:val="standardContextual"/>
        </w:rPr>
        <w:t>获评</w:t>
      </w:r>
      <w:r>
        <w:rPr>
          <w:rFonts w:ascii="Times New Roman" w:hAnsi="Times New Roman" w:eastAsia="仿宋_GB2312" w:cs="Times New Roman"/>
          <w:sz w:val="32"/>
          <w:szCs w:val="32"/>
          <w14:ligatures w14:val="standardContextual"/>
        </w:rPr>
        <w:t>第七届</w:t>
      </w:r>
      <w:r>
        <w:rPr>
          <w:rFonts w:hint="eastAsia" w:ascii="Times New Roman" w:hAnsi="Times New Roman" w:eastAsia="仿宋_GB2312" w:cs="Times New Roman"/>
          <w:sz w:val="32"/>
          <w:szCs w:val="32"/>
          <w14:ligatures w14:val="standardContextual"/>
        </w:rPr>
        <w:t>“</w:t>
      </w:r>
      <w:r>
        <w:rPr>
          <w:rFonts w:ascii="Times New Roman" w:hAnsi="Times New Roman" w:eastAsia="仿宋_GB2312" w:cs="Times New Roman"/>
          <w:sz w:val="32"/>
          <w:szCs w:val="32"/>
          <w14:ligatures w14:val="standardContextual"/>
        </w:rPr>
        <w:t>上海十大医改创新举措</w:t>
      </w:r>
      <w:bookmarkEnd w:id="34"/>
      <w:r>
        <w:rPr>
          <w:rFonts w:hint="eastAsia" w:ascii="Times New Roman" w:hAnsi="Times New Roman" w:eastAsia="仿宋_GB2312" w:cs="Times New Roman"/>
          <w:sz w:val="32"/>
          <w:szCs w:val="32"/>
          <w14:ligatures w14:val="standardContextual"/>
        </w:rPr>
        <w:t>”</w:t>
      </w:r>
      <w:r>
        <w:rPr>
          <w:rFonts w:ascii="Times New Roman" w:hAnsi="Times New Roman" w:eastAsia="仿宋_GB2312" w:cs="Times New Roman"/>
          <w:sz w:val="32"/>
          <w:szCs w:val="32"/>
          <w14:ligatures w14:val="standardContextual"/>
        </w:rPr>
        <w:t>。居民健康素养逐年提升，202</w:t>
      </w:r>
      <w:r>
        <w:rPr>
          <w:rFonts w:hint="eastAsia" w:ascii="Times New Roman" w:hAnsi="Times New Roman" w:eastAsia="仿宋_GB2312" w:cs="Times New Roman"/>
          <w:sz w:val="32"/>
          <w:szCs w:val="32"/>
          <w14:ligatures w14:val="standardContextual"/>
        </w:rPr>
        <w:t>5</w:t>
      </w:r>
      <w:r>
        <w:rPr>
          <w:rFonts w:ascii="Times New Roman" w:hAnsi="Times New Roman" w:eastAsia="仿宋_GB2312" w:cs="Times New Roman"/>
          <w:sz w:val="32"/>
          <w:szCs w:val="32"/>
          <w14:ligatures w14:val="standardContextual"/>
        </w:rPr>
        <w:t>年达到</w:t>
      </w:r>
      <w:r>
        <w:rPr>
          <w:rFonts w:hint="eastAsia" w:ascii="Times New Roman" w:hAnsi="Times New Roman" w:eastAsia="仿宋_GB2312" w:cs="Times New Roman"/>
          <w:sz w:val="32"/>
          <w:szCs w:val="32"/>
          <w:lang w:val="en-US" w:eastAsia="zh-CN"/>
          <w14:ligatures w14:val="standardContextual"/>
        </w:rPr>
        <w:t>45</w:t>
      </w:r>
      <w:r>
        <w:rPr>
          <w:rFonts w:hint="eastAsia" w:ascii="Times New Roman" w:hAnsi="Times New Roman" w:eastAsia="仿宋_GB2312" w:cs="Times New Roman"/>
          <w:sz w:val="32"/>
          <w:szCs w:val="32"/>
          <w:highlight w:val="none"/>
          <w:lang w:val="en-US" w:eastAsia="zh-CN"/>
          <w14:ligatures w14:val="standardContextual"/>
        </w:rPr>
        <w:t>.08</w:t>
      </w:r>
      <w:r>
        <w:rPr>
          <w:rFonts w:ascii="Times New Roman" w:hAnsi="Times New Roman" w:eastAsia="仿宋_GB2312" w:cs="Times New Roman"/>
          <w:sz w:val="32"/>
          <w:szCs w:val="32"/>
          <w:highlight w:val="none"/>
          <w14:ligatures w14:val="standardContextual"/>
        </w:rPr>
        <w:t>%。</w:t>
      </w:r>
    </w:p>
    <w:p w14:paraId="231D9252">
      <w:pPr>
        <w:adjustRightInd w:val="0"/>
        <w:snapToGrid w:val="0"/>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4.</w:t>
      </w:r>
      <w:r>
        <w:rPr>
          <w:rFonts w:hint="eastAsia" w:ascii="Times New Roman" w:hAnsi="Times New Roman" w:eastAsia="仿宋_GB2312" w:cs="Times New Roman"/>
          <w:b/>
          <w:bCs/>
          <w:sz w:val="32"/>
          <w:szCs w:val="32"/>
        </w:rPr>
        <w:t>精神卫生和心理服务体系建设持续完善。</w:t>
      </w:r>
      <w:r>
        <w:rPr>
          <w:rFonts w:hint="eastAsia" w:ascii="Times New Roman" w:hAnsi="Times New Roman" w:eastAsia="仿宋_GB2312" w:cs="Times New Roman"/>
          <w:sz w:val="32"/>
          <w:szCs w:val="32"/>
        </w:rPr>
        <w:t>巩固国家精神卫生综合管理示范区建设成果，</w:t>
      </w:r>
      <w:r>
        <w:rPr>
          <w:rFonts w:hint="eastAsia" w:ascii="仿宋_GB2312" w:hAnsi="仿宋_GB2312" w:eastAsia="仿宋_GB2312" w:cs="仿宋_GB2312"/>
          <w:sz w:val="32"/>
          <w:szCs w:val="32"/>
        </w:rPr>
        <w:t>严重精神障碍患者“区-街道（镇）-村居”三级管理和“卫健-公安-政法-街道（镇）”四方联动工作模式不断完善，“一站式”医疗救治政策全面落实，在全市率先实现严重精神障碍长效药物治疗门诊全覆盖。全面启动社会心理服务体系建设试点工作，加强心理健康服务队伍建设，打造“青溪春雨”心理健康服务品牌，创建示范性村（居）心理咨询室。</w:t>
      </w:r>
      <w:r>
        <w:rPr>
          <w:rFonts w:hint="eastAsia" w:ascii="Times New Roman" w:hAnsi="Times New Roman" w:eastAsia="仿宋_GB2312" w:cs="Times New Roman"/>
          <w:sz w:val="32"/>
          <w:szCs w:val="32"/>
        </w:rPr>
        <w:t>，</w:t>
      </w:r>
      <w:bookmarkStart w:id="35" w:name="OLE_LINK70"/>
      <w:r>
        <w:rPr>
          <w:rFonts w:ascii="Times New Roman" w:hAnsi="Times New Roman" w:eastAsia="仿宋_GB2312" w:cs="Times New Roman"/>
          <w:sz w:val="32"/>
          <w:szCs w:val="32"/>
        </w:rPr>
        <w:t>巩固国家精神卫生综合管理示范区建设成果，大力推进全国社会心理服务体系建设试点工作</w:t>
      </w:r>
      <w:bookmarkEnd w:id="35"/>
      <w:r>
        <w:rPr>
          <w:rFonts w:hint="eastAsia" w:ascii="Times New Roman" w:hAnsi="Times New Roman" w:eastAsia="仿宋_GB2312" w:cs="Times New Roman"/>
          <w:sz w:val="32"/>
          <w:szCs w:val="32"/>
        </w:rPr>
        <w:t>。</w:t>
      </w:r>
    </w:p>
    <w:p w14:paraId="1E8DEDE8">
      <w:pPr>
        <w:adjustRightInd w:val="0"/>
        <w:snapToGrid w:val="0"/>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5.家庭发展和妇女儿童健康稳步提升。</w:t>
      </w:r>
      <w:r>
        <w:rPr>
          <w:rFonts w:hint="eastAsia" w:ascii="Times New Roman" w:hAnsi="Times New Roman" w:eastAsia="仿宋_GB2312" w:cs="Times New Roman"/>
          <w:sz w:val="32"/>
          <w:szCs w:val="32"/>
        </w:rPr>
        <w:t>从“全面两孩”平稳过渡到“三孩”生育政策，不断完善生育支持政策体系、落实育儿补贴制度，逐步建立生育、养育、教育一体化成本共担机制。</w:t>
      </w:r>
      <w:r>
        <w:rPr>
          <w:rFonts w:ascii="Times New Roman" w:hAnsi="Times New Roman" w:eastAsia="仿宋_GB2312" w:cs="Times New Roman"/>
          <w:sz w:val="32"/>
          <w:szCs w:val="32"/>
          <w14:ligatures w14:val="standardContextual"/>
        </w:rPr>
        <w:t>建立全覆盖孕情网格化管理体系，推进妊娠风险预警评估体系精细化管理。</w:t>
      </w:r>
      <w:r>
        <w:rPr>
          <w:rFonts w:hint="eastAsia" w:ascii="Times New Roman" w:hAnsi="Times New Roman" w:eastAsia="仿宋_GB2312" w:cs="Times New Roman"/>
          <w:sz w:val="32"/>
          <w:szCs w:val="32"/>
          <w14:ligatures w14:val="standardContextual"/>
        </w:rPr>
        <w:t>辖区内0-6岁儿童健康管理率保持在99.5%左右，</w:t>
      </w:r>
      <w:r>
        <w:rPr>
          <w:rFonts w:ascii="Times New Roman" w:hAnsi="Times New Roman" w:eastAsia="仿宋_GB2312" w:cs="Times New Roman"/>
          <w:sz w:val="32"/>
          <w:szCs w:val="32"/>
          <w14:ligatures w14:val="standardContextual"/>
        </w:rPr>
        <w:t>16家单位成功创建上海市儿童友好医院。</w:t>
      </w:r>
    </w:p>
    <w:p w14:paraId="723416F9">
      <w:pPr>
        <w:pStyle w:val="3"/>
        <w:spacing w:line="560" w:lineRule="exact"/>
      </w:pPr>
      <w:bookmarkStart w:id="36" w:name="_Toc8442"/>
      <w:r>
        <w:t>（三）示范区卫生健康一体化有序推进</w:t>
      </w:r>
      <w:bookmarkEnd w:id="36"/>
    </w:p>
    <w:p w14:paraId="0255C55A">
      <w:pPr>
        <w:adjustRightInd w:val="0"/>
        <w:snapToGrid w:val="0"/>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1.</w:t>
      </w:r>
      <w:bookmarkStart w:id="37" w:name="OLE_LINK9"/>
      <w:r>
        <w:rPr>
          <w:rFonts w:ascii="Times New Roman" w:hAnsi="Times New Roman" w:eastAsia="仿宋_GB2312" w:cs="Times New Roman"/>
          <w:b/>
          <w:bCs/>
          <w:sz w:val="32"/>
          <w:szCs w:val="32"/>
        </w:rPr>
        <w:t>公共卫生一体化稳步推进</w:t>
      </w:r>
      <w:bookmarkEnd w:id="37"/>
      <w:r>
        <w:rPr>
          <w:rFonts w:ascii="Times New Roman" w:hAnsi="Times New Roman" w:eastAsia="仿宋_GB2312" w:cs="Times New Roman"/>
          <w:b/>
          <w:bCs/>
          <w:sz w:val="32"/>
          <w:szCs w:val="32"/>
        </w:rPr>
        <w:t>。</w:t>
      </w:r>
      <w:bookmarkStart w:id="38" w:name="OLE_LINK11"/>
      <w:r>
        <w:rPr>
          <w:rFonts w:ascii="Times New Roman" w:hAnsi="Times New Roman" w:eastAsia="仿宋_GB2312" w:cs="Times New Roman"/>
          <w:sz w:val="32"/>
          <w:szCs w:val="32"/>
        </w:rPr>
        <w:t>示范区</w:t>
      </w:r>
      <w:r>
        <w:rPr>
          <w:rFonts w:hint="eastAsia" w:ascii="Times New Roman" w:hAnsi="Times New Roman" w:eastAsia="仿宋_GB2312" w:cs="Times New Roman"/>
          <w:sz w:val="32"/>
          <w:szCs w:val="32"/>
        </w:rPr>
        <w:t>两区一县</w:t>
      </w:r>
      <w:r>
        <w:rPr>
          <w:rFonts w:ascii="Times New Roman" w:hAnsi="Times New Roman" w:eastAsia="仿宋_GB2312" w:cs="Times New Roman"/>
          <w:sz w:val="32"/>
          <w:szCs w:val="32"/>
        </w:rPr>
        <w:t>疾控、妇幼保健、</w:t>
      </w:r>
      <w:r>
        <w:rPr>
          <w:rFonts w:hint="eastAsia" w:ascii="Times New Roman" w:hAnsi="Times New Roman" w:eastAsia="仿宋_GB2312" w:cs="Times New Roman"/>
          <w:sz w:val="32"/>
          <w:szCs w:val="32"/>
        </w:rPr>
        <w:t>健康促进、</w:t>
      </w:r>
      <w:r>
        <w:rPr>
          <w:rFonts w:ascii="Times New Roman" w:hAnsi="Times New Roman" w:eastAsia="仿宋_GB2312" w:cs="Times New Roman"/>
          <w:sz w:val="32"/>
          <w:szCs w:val="32"/>
        </w:rPr>
        <w:t>精神卫生等公共卫生机构通过建立联盟、签</w:t>
      </w:r>
      <w:r>
        <w:rPr>
          <w:rFonts w:hint="eastAsia" w:ascii="Times New Roman" w:hAnsi="Times New Roman" w:eastAsia="仿宋_GB2312" w:cs="Times New Roman"/>
          <w:sz w:val="32"/>
          <w:szCs w:val="32"/>
        </w:rPr>
        <w:t>约合作</w:t>
      </w:r>
      <w:r>
        <w:rPr>
          <w:rFonts w:ascii="Times New Roman" w:hAnsi="Times New Roman" w:eastAsia="仿宋_GB2312" w:cs="Times New Roman"/>
          <w:sz w:val="32"/>
          <w:szCs w:val="32"/>
        </w:rPr>
        <w:t>、开展培训、举办论坛等多种形式加强协同协作。组建长三角一体化示范区传染病联合处置队，共同</w:t>
      </w:r>
      <w:r>
        <w:rPr>
          <w:rFonts w:hint="eastAsia" w:ascii="Times New Roman" w:hAnsi="Times New Roman" w:eastAsia="仿宋_GB2312" w:cs="Times New Roman"/>
          <w:sz w:val="32"/>
          <w:szCs w:val="32"/>
        </w:rPr>
        <w:t>开展</w:t>
      </w:r>
      <w:r>
        <w:rPr>
          <w:rFonts w:ascii="Times New Roman" w:hAnsi="Times New Roman" w:eastAsia="仿宋_GB2312" w:cs="Times New Roman"/>
          <w:sz w:val="32"/>
          <w:szCs w:val="32"/>
        </w:rPr>
        <w:t>传染病</w:t>
      </w:r>
      <w:r>
        <w:rPr>
          <w:rFonts w:hint="eastAsia" w:ascii="Times New Roman" w:hAnsi="Times New Roman" w:eastAsia="仿宋_GB2312" w:cs="Times New Roman"/>
          <w:sz w:val="32"/>
          <w:szCs w:val="32"/>
        </w:rPr>
        <w:t>防控</w:t>
      </w:r>
      <w:r>
        <w:rPr>
          <w:rFonts w:ascii="Times New Roman" w:hAnsi="Times New Roman" w:eastAsia="仿宋_GB2312" w:cs="Times New Roman"/>
          <w:sz w:val="32"/>
          <w:szCs w:val="32"/>
        </w:rPr>
        <w:t>。</w:t>
      </w:r>
      <w:r>
        <w:rPr>
          <w:rFonts w:ascii="Times New Roman" w:hAnsi="Times New Roman" w:eastAsia="仿宋_GB2312" w:cs="Times New Roman"/>
          <w:sz w:val="32"/>
          <w:szCs w:val="32"/>
          <w14:ligatures w14:val="standardContextual"/>
        </w:rPr>
        <w:t>建立长三角卫生监督执法联动办公室，</w:t>
      </w:r>
      <w:r>
        <w:rPr>
          <w:rFonts w:hint="eastAsia" w:ascii="Times New Roman" w:hAnsi="Times New Roman" w:eastAsia="仿宋_GB2312" w:cs="Times New Roman"/>
          <w:sz w:val="32"/>
          <w:szCs w:val="32"/>
          <w14:ligatures w14:val="standardContextual"/>
        </w:rPr>
        <w:t>联合</w:t>
      </w:r>
      <w:r>
        <w:rPr>
          <w:rFonts w:ascii="Times New Roman" w:hAnsi="Times New Roman" w:eastAsia="仿宋_GB2312" w:cs="Times New Roman"/>
          <w:sz w:val="32"/>
          <w:szCs w:val="32"/>
          <w14:ligatures w14:val="standardContextual"/>
        </w:rPr>
        <w:t>开展能力提升培训</w:t>
      </w:r>
      <w:r>
        <w:rPr>
          <w:rFonts w:hint="eastAsia" w:ascii="Times New Roman" w:hAnsi="Times New Roman" w:eastAsia="仿宋_GB2312" w:cs="Times New Roman"/>
          <w:sz w:val="32"/>
          <w:szCs w:val="32"/>
          <w14:ligatures w14:val="standardContextual"/>
        </w:rPr>
        <w:t>和</w:t>
      </w:r>
      <w:r>
        <w:rPr>
          <w:rFonts w:ascii="Times New Roman" w:hAnsi="Times New Roman" w:eastAsia="仿宋_GB2312" w:cs="Times New Roman"/>
          <w:sz w:val="32"/>
          <w:szCs w:val="32"/>
          <w14:ligatures w14:val="standardContextual"/>
        </w:rPr>
        <w:t>技能竞赛</w:t>
      </w:r>
      <w:r>
        <w:rPr>
          <w:rFonts w:hint="eastAsia" w:ascii="Times New Roman" w:hAnsi="Times New Roman" w:eastAsia="仿宋_GB2312" w:cs="Times New Roman"/>
          <w:sz w:val="32"/>
          <w:szCs w:val="32"/>
          <w14:ligatures w14:val="standardContextual"/>
        </w:rPr>
        <w:t>及执法</w:t>
      </w:r>
      <w:r>
        <w:rPr>
          <w:rFonts w:ascii="Times New Roman" w:hAnsi="Times New Roman" w:eastAsia="仿宋_GB2312" w:cs="Times New Roman"/>
          <w:sz w:val="32"/>
          <w:szCs w:val="32"/>
          <w14:ligatures w14:val="standardContextual"/>
        </w:rPr>
        <w:t>行动。</w:t>
      </w:r>
      <w:bookmarkEnd w:id="38"/>
      <w:bookmarkStart w:id="39" w:name="OLE_LINK4"/>
      <w:r>
        <w:rPr>
          <w:rFonts w:hint="eastAsia" w:ascii="仿宋_GB2312" w:hAnsi="仿宋_GB2312" w:eastAsia="仿宋_GB2312" w:cs="仿宋_GB2312"/>
          <w:sz w:val="32"/>
          <w:szCs w:val="32"/>
        </w:rPr>
        <w:t>积极探索示范区公共场所卫生备案工作。</w:t>
      </w:r>
    </w:p>
    <w:bookmarkEnd w:id="39"/>
    <w:p w14:paraId="52E123A4">
      <w:pPr>
        <w:adjustRightInd w:val="0"/>
        <w:snapToGrid w:val="0"/>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2.医疗</w:t>
      </w:r>
      <w:bookmarkStart w:id="40" w:name="OLE_LINK7"/>
      <w:r>
        <w:rPr>
          <w:rFonts w:ascii="Times New Roman" w:hAnsi="Times New Roman" w:eastAsia="仿宋_GB2312" w:cs="Times New Roman"/>
          <w:b/>
          <w:bCs/>
          <w:sz w:val="32"/>
          <w:szCs w:val="32"/>
        </w:rPr>
        <w:t>一体化</w:t>
      </w:r>
      <w:bookmarkStart w:id="41" w:name="OLE_LINK6"/>
      <w:r>
        <w:rPr>
          <w:rFonts w:ascii="Times New Roman" w:hAnsi="Times New Roman" w:eastAsia="仿宋_GB2312" w:cs="Times New Roman"/>
          <w:b/>
          <w:bCs/>
          <w:sz w:val="32"/>
          <w:szCs w:val="32"/>
        </w:rPr>
        <w:t>发展</w:t>
      </w:r>
      <w:bookmarkEnd w:id="40"/>
      <w:bookmarkEnd w:id="41"/>
      <w:r>
        <w:rPr>
          <w:rFonts w:ascii="Times New Roman" w:hAnsi="Times New Roman" w:eastAsia="仿宋_GB2312" w:cs="Times New Roman"/>
          <w:b/>
          <w:bCs/>
          <w:sz w:val="32"/>
          <w:szCs w:val="32"/>
        </w:rPr>
        <w:t>加快推进。</w:t>
      </w:r>
      <w:r>
        <w:rPr>
          <w:rFonts w:hint="eastAsia" w:ascii="Times New Roman" w:hAnsi="Times New Roman" w:eastAsia="仿宋_GB2312" w:cs="Times New Roman"/>
          <w:sz w:val="32"/>
          <w:szCs w:val="32"/>
        </w:rPr>
        <w:t>共同建设长三角一体化示范区医疗联合体，建立示范区妇产科医联体、儿童健康联盟、疼痛学科联盟等，开展联合诊疗、学科共建、人员交流，推动区域优质医疗资源共享。深化院前急救合作，联合开展应急医疗救援演练，统一院前急救指挥调度系统，构建毗邻区域统筹协调的医疗应急联动救援模式。</w:t>
      </w:r>
    </w:p>
    <w:p w14:paraId="39D82870">
      <w:pPr>
        <w:adjustRightInd w:val="0"/>
        <w:snapToGrid w:val="0"/>
        <w:spacing w:line="560" w:lineRule="exact"/>
        <w:ind w:firstLine="643" w:firstLineChars="200"/>
        <w:rPr>
          <w:rFonts w:ascii="Times New Roman" w:hAnsi="Times New Roman" w:eastAsia="仿宋_GB2312" w:cs="Times New Roman"/>
          <w:bCs/>
          <w:sz w:val="32"/>
          <w:szCs w:val="32"/>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rPr>
        <w:t>健康信息互联互通水平持续提升。</w:t>
      </w:r>
      <w:r>
        <w:rPr>
          <w:rFonts w:ascii="Times New Roman" w:hAnsi="Times New Roman" w:eastAsia="仿宋_GB2312" w:cs="Times New Roman"/>
          <w:sz w:val="32"/>
          <w:szCs w:val="32"/>
        </w:rPr>
        <w:t>联合</w:t>
      </w:r>
      <w:r>
        <w:rPr>
          <w:rFonts w:hint="eastAsia" w:ascii="Times New Roman" w:hAnsi="Times New Roman" w:eastAsia="仿宋_GB2312" w:cs="Times New Roman"/>
          <w:sz w:val="32"/>
          <w:szCs w:val="32"/>
        </w:rPr>
        <w:t>推进</w:t>
      </w:r>
      <w:r>
        <w:rPr>
          <w:rFonts w:ascii="Times New Roman" w:hAnsi="Times New Roman" w:eastAsia="仿宋_GB2312" w:cs="Times New Roman"/>
          <w:sz w:val="32"/>
          <w:szCs w:val="32"/>
        </w:rPr>
        <w:t>示范区医疗机构间医学影像检查资料和医学检验结果互联互通互认</w:t>
      </w:r>
      <w:r>
        <w:rPr>
          <w:rFonts w:hint="eastAsia" w:ascii="Times New Roman" w:hAnsi="Times New Roman" w:eastAsia="仿宋_GB2312" w:cs="Times New Roman"/>
          <w:sz w:val="32"/>
          <w:szCs w:val="32"/>
        </w:rPr>
        <w:t>及居民电子健康档案调阅</w:t>
      </w:r>
      <w:r>
        <w:rPr>
          <w:rFonts w:ascii="Times New Roman" w:hAnsi="Times New Roman" w:eastAsia="仿宋_GB2312" w:cs="Times New Roman"/>
          <w:sz w:val="32"/>
          <w:szCs w:val="32"/>
        </w:rPr>
        <w:t>，</w:t>
      </w:r>
      <w:bookmarkStart w:id="42" w:name="OLE_LINK74"/>
      <w:bookmarkStart w:id="43" w:name="OLE_LINK75"/>
      <w:r>
        <w:rPr>
          <w:rFonts w:hint="eastAsia" w:ascii="Times New Roman" w:hAnsi="Times New Roman" w:eastAsia="仿宋_GB2312" w:cs="Times New Roman"/>
          <w:sz w:val="32"/>
          <w:szCs w:val="32"/>
        </w:rPr>
        <w:t>推进</w:t>
      </w:r>
      <w:r>
        <w:rPr>
          <w:rFonts w:ascii="Times New Roman" w:hAnsi="Times New Roman" w:eastAsia="仿宋_GB2312" w:cs="Times New Roman"/>
          <w:sz w:val="32"/>
          <w:szCs w:val="32"/>
        </w:rPr>
        <w:t>示范区</w:t>
      </w:r>
      <w:r>
        <w:rPr>
          <w:rFonts w:ascii="Times New Roman" w:hAnsi="Times New Roman" w:eastAsia="仿宋_GB2312" w:cs="Times New Roman"/>
          <w:bCs/>
          <w:sz w:val="32"/>
          <w:szCs w:val="32"/>
        </w:rPr>
        <w:t>免疫接种信息互联互通</w:t>
      </w:r>
      <w:bookmarkEnd w:id="42"/>
      <w:bookmarkEnd w:id="43"/>
      <w:r>
        <w:rPr>
          <w:rFonts w:hint="eastAsia" w:ascii="Times New Roman" w:hAnsi="Times New Roman" w:eastAsia="仿宋_GB2312" w:cs="Times New Roman"/>
          <w:bCs/>
          <w:sz w:val="32"/>
          <w:szCs w:val="32"/>
        </w:rPr>
        <w:t>，</w:t>
      </w:r>
      <w:bookmarkStart w:id="44" w:name="OLE_LINK72"/>
      <w:r>
        <w:rPr>
          <w:rFonts w:ascii="Times New Roman" w:hAnsi="Times New Roman" w:eastAsia="仿宋_GB2312" w:cs="Times New Roman"/>
          <w:sz w:val="32"/>
          <w:szCs w:val="32"/>
        </w:rPr>
        <w:t>实现</w:t>
      </w:r>
      <w:r>
        <w:rPr>
          <w:rFonts w:hint="eastAsia" w:ascii="Times New Roman" w:hAnsi="Times New Roman" w:eastAsia="仿宋_GB2312" w:cs="Times New Roman"/>
          <w:sz w:val="32"/>
          <w:szCs w:val="32"/>
        </w:rPr>
        <w:t>示范区</w:t>
      </w:r>
      <w:r>
        <w:rPr>
          <w:rFonts w:ascii="Times New Roman" w:hAnsi="Times New Roman" w:eastAsia="仿宋_GB2312" w:cs="Times New Roman"/>
          <w:sz w:val="32"/>
          <w:szCs w:val="32"/>
        </w:rPr>
        <w:t>免备案异地</w:t>
      </w:r>
      <w:r>
        <w:rPr>
          <w:rFonts w:hint="eastAsia" w:ascii="Times New Roman" w:hAnsi="Times New Roman" w:eastAsia="仿宋_GB2312" w:cs="Times New Roman"/>
          <w:sz w:val="32"/>
          <w:szCs w:val="32"/>
        </w:rPr>
        <w:t>就医</w:t>
      </w:r>
      <w:r>
        <w:rPr>
          <w:rFonts w:ascii="Times New Roman" w:hAnsi="Times New Roman" w:eastAsia="仿宋_GB2312" w:cs="Times New Roman"/>
          <w:sz w:val="32"/>
          <w:szCs w:val="32"/>
        </w:rPr>
        <w:t>医保实时结算</w:t>
      </w:r>
      <w:bookmarkEnd w:id="44"/>
      <w:r>
        <w:rPr>
          <w:rFonts w:ascii="Times New Roman" w:hAnsi="Times New Roman" w:eastAsia="仿宋_GB2312" w:cs="Times New Roman"/>
          <w:bCs/>
          <w:sz w:val="32"/>
          <w:szCs w:val="32"/>
        </w:rPr>
        <w:t>。</w:t>
      </w:r>
    </w:p>
    <w:p w14:paraId="48CB2AF0">
      <w:pPr>
        <w:pStyle w:val="3"/>
        <w:spacing w:line="560" w:lineRule="exact"/>
      </w:pPr>
      <w:bookmarkStart w:id="45" w:name="_Toc30211"/>
      <w:r>
        <w:t>（四）卫生健康配套支撑更加夯实</w:t>
      </w:r>
      <w:bookmarkEnd w:id="45"/>
    </w:p>
    <w:p w14:paraId="596241F5">
      <w:pPr>
        <w:adjustRightInd w:val="0"/>
        <w:snapToGrid w:val="0"/>
        <w:spacing w:line="560" w:lineRule="exact"/>
        <w:ind w:firstLine="643" w:firstLineChars="200"/>
        <w:rPr>
          <w:rFonts w:ascii="Times New Roman" w:hAnsi="Times New Roman" w:eastAsia="仿宋_GB2312" w:cs="Times New Roman"/>
          <w:bCs/>
          <w:sz w:val="32"/>
          <w:szCs w:val="32"/>
        </w:rPr>
      </w:pPr>
      <w:r>
        <w:rPr>
          <w:rFonts w:hint="eastAsia" w:ascii="Times New Roman" w:hAnsi="Times New Roman" w:eastAsia="仿宋_GB2312" w:cs="Times New Roman"/>
          <w:b/>
          <w:bCs/>
          <w:sz w:val="32"/>
          <w:szCs w:val="32"/>
        </w:rPr>
        <w:t>1.</w:t>
      </w:r>
      <w:r>
        <w:rPr>
          <w:rFonts w:ascii="Times New Roman" w:hAnsi="Times New Roman" w:eastAsia="仿宋_GB2312" w:cs="Times New Roman"/>
          <w:b/>
          <w:bCs/>
          <w:sz w:val="32"/>
          <w:szCs w:val="32"/>
        </w:rPr>
        <w:t>智慧健康服务模式持续创新。</w:t>
      </w:r>
      <w:r>
        <w:rPr>
          <w:rFonts w:ascii="Times New Roman" w:hAnsi="Times New Roman" w:eastAsia="仿宋_GB2312" w:cs="Times New Roman"/>
          <w:bCs/>
          <w:sz w:val="32"/>
          <w:szCs w:val="32"/>
        </w:rPr>
        <w:t>数字健康城区基座和应用场景建设深入推进，正式启用区卫生健康行业云，形成示范区卫生健康虚拟专网，建立医疗可信数据链，实现跨机构、跨区域医疗数据要素流通。在全市首批启动</w:t>
      </w:r>
      <w:r>
        <w:rPr>
          <w:rFonts w:hint="eastAsia" w:ascii="仿宋_GB2312" w:hAnsi="Times New Roman" w:eastAsia="仿宋_GB2312" w:cs="Times New Roman"/>
          <w:bCs/>
          <w:sz w:val="32"/>
          <w:szCs w:val="32"/>
        </w:rPr>
        <w:t>“中山+青浦”</w:t>
      </w:r>
      <w:r>
        <w:rPr>
          <w:rFonts w:ascii="Times New Roman" w:hAnsi="Times New Roman" w:eastAsia="仿宋_GB2312" w:cs="Times New Roman"/>
          <w:bCs/>
          <w:sz w:val="32"/>
          <w:szCs w:val="32"/>
        </w:rPr>
        <w:t>数字健康城区建设，建成区域互联网医院平台、区域远程医疗协同平台和区域</w:t>
      </w:r>
      <w:r>
        <w:rPr>
          <w:rFonts w:hint="eastAsia" w:ascii="仿宋_GB2312" w:hAnsi="Times New Roman" w:eastAsia="仿宋_GB2312" w:cs="Times New Roman"/>
          <w:bCs/>
          <w:sz w:val="32"/>
          <w:szCs w:val="32"/>
        </w:rPr>
        <w:t>互联平台“三平台”，拓展</w:t>
      </w:r>
      <w:r>
        <w:rPr>
          <w:rFonts w:ascii="Times New Roman" w:hAnsi="Times New Roman" w:eastAsia="仿宋_GB2312" w:cs="Times New Roman"/>
          <w:bCs/>
          <w:sz w:val="32"/>
          <w:szCs w:val="32"/>
        </w:rPr>
        <w:t>健康驿站、无墙医院等六大应用场景。建立数字健康城区新型分级诊疗体系，打造基于居</w:t>
      </w:r>
      <w:r>
        <w:rPr>
          <w:rFonts w:hint="eastAsia" w:ascii="仿宋_GB2312" w:hAnsi="Times New Roman" w:eastAsia="仿宋_GB2312" w:cs="Times New Roman"/>
          <w:bCs/>
          <w:sz w:val="32"/>
          <w:szCs w:val="32"/>
        </w:rPr>
        <w:t>民“健康画像”的</w:t>
      </w:r>
      <w:r>
        <w:rPr>
          <w:rFonts w:ascii="Times New Roman" w:hAnsi="Times New Roman" w:eastAsia="仿宋_GB2312" w:cs="Times New Roman"/>
          <w:bCs/>
          <w:sz w:val="32"/>
          <w:szCs w:val="32"/>
        </w:rPr>
        <w:t>全生命周期健康管理模式。</w:t>
      </w:r>
      <w:r>
        <w:rPr>
          <w:rFonts w:hint="eastAsia" w:ascii="Times New Roman" w:hAnsi="Times New Roman" w:eastAsia="仿宋_GB2312" w:cs="Times New Roman"/>
          <w:sz w:val="32"/>
          <w:szCs w:val="32"/>
        </w:rPr>
        <w:t>建立覆盖全区所有社区卫生服务机构的智慧健康信息化社区云平台。</w:t>
      </w:r>
      <w:r>
        <w:rPr>
          <w:rFonts w:ascii="Times New Roman" w:hAnsi="Times New Roman" w:eastAsia="仿宋_GB2312" w:cs="Times New Roman"/>
          <w:bCs/>
          <w:sz w:val="32"/>
          <w:szCs w:val="32"/>
        </w:rPr>
        <w:t>卫生健康信息化建设应用水平</w:t>
      </w:r>
      <w:r>
        <w:rPr>
          <w:rFonts w:ascii="仿宋_GB2312" w:hAnsi="Times New Roman" w:eastAsia="仿宋_GB2312" w:cs="Times New Roman"/>
          <w:bCs/>
          <w:sz w:val="32"/>
          <w:szCs w:val="32"/>
        </w:rPr>
        <w:t>不断提升，复旦大学附属中山医院青浦分院、</w:t>
      </w:r>
      <w:r>
        <w:rPr>
          <w:rFonts w:hint="eastAsia" w:ascii="仿宋_GB2312" w:hAnsi="Times New Roman" w:eastAsia="仿宋_GB2312" w:cs="Times New Roman"/>
          <w:bCs/>
          <w:sz w:val="32"/>
          <w:szCs w:val="32"/>
        </w:rPr>
        <w:t>区中医医院、朱家角人民医院</w:t>
      </w:r>
      <w:r>
        <w:rPr>
          <w:rFonts w:ascii="仿宋_GB2312" w:hAnsi="Times New Roman" w:eastAsia="仿宋_GB2312" w:cs="Times New Roman"/>
          <w:bCs/>
          <w:sz w:val="32"/>
          <w:szCs w:val="32"/>
        </w:rPr>
        <w:t>达到电子病历应用水平四级，12家社区卫生服务中心</w:t>
      </w:r>
      <w:r>
        <w:rPr>
          <w:rFonts w:hint="eastAsia" w:ascii="仿宋_GB2312" w:hAnsi="Times New Roman" w:eastAsia="仿宋_GB2312" w:cs="Times New Roman"/>
          <w:bCs/>
          <w:sz w:val="32"/>
          <w:szCs w:val="32"/>
        </w:rPr>
        <w:t>均通过电子健康档案应用水平等级评审</w:t>
      </w:r>
      <w:r>
        <w:rPr>
          <w:rFonts w:ascii="Times New Roman" w:hAnsi="Times New Roman" w:eastAsia="仿宋_GB2312" w:cs="Times New Roman"/>
          <w:bCs/>
          <w:sz w:val="32"/>
          <w:szCs w:val="32"/>
        </w:rPr>
        <w:t>。</w:t>
      </w:r>
      <w:r>
        <w:rPr>
          <w:rFonts w:hint="eastAsia" w:ascii="Times New Roman" w:hAnsi="Times New Roman" w:eastAsia="仿宋_GB2312" w:cs="Times New Roman"/>
          <w:bCs/>
          <w:sz w:val="32"/>
          <w:szCs w:val="32"/>
        </w:rPr>
        <w:t>基于长三角（上海）智慧互联网医院形成面向示范区、辐射对口援建地区的“三中心一体系”，实现在线专家咨询、预约挂号、问诊、多学科会诊、复诊、处方、一键续方、药品配送、电子票据等互联网一体化诊疗便民服务。</w:t>
      </w:r>
    </w:p>
    <w:p w14:paraId="6ABAF8B1">
      <w:pPr>
        <w:adjustRightInd w:val="0"/>
        <w:snapToGrid w:val="0"/>
        <w:spacing w:line="560" w:lineRule="exact"/>
        <w:ind w:firstLine="643" w:firstLineChars="200"/>
        <w:rPr>
          <w:rFonts w:ascii="Times New Roman" w:hAnsi="Times New Roman" w:eastAsia="仿宋_GB2312" w:cs="Times New Roman"/>
          <w:bCs/>
          <w:sz w:val="32"/>
          <w:szCs w:val="32"/>
        </w:rPr>
      </w:pPr>
      <w:r>
        <w:rPr>
          <w:rFonts w:hint="eastAsia" w:ascii="Times New Roman" w:hAnsi="Times New Roman" w:eastAsia="仿宋_GB2312" w:cs="Times New Roman"/>
          <w:b/>
          <w:bCs/>
          <w:sz w:val="32"/>
          <w:szCs w:val="32"/>
        </w:rPr>
        <w:t>2.</w:t>
      </w:r>
      <w:r>
        <w:rPr>
          <w:rFonts w:ascii="Times New Roman" w:hAnsi="Times New Roman" w:eastAsia="仿宋_GB2312" w:cs="Times New Roman"/>
          <w:b/>
          <w:bCs/>
          <w:sz w:val="32"/>
          <w:szCs w:val="32"/>
        </w:rPr>
        <w:t>学科和人才建设不断强化。</w:t>
      </w:r>
      <w:r>
        <w:rPr>
          <w:rFonts w:ascii="Times New Roman" w:hAnsi="Times New Roman" w:eastAsia="仿宋_GB2312" w:cs="Times New Roman"/>
          <w:bCs/>
          <w:sz w:val="32"/>
          <w:szCs w:val="32"/>
        </w:rPr>
        <w:t>完成第五轮学科</w:t>
      </w:r>
      <w:r>
        <w:rPr>
          <w:rFonts w:hint="eastAsia" w:ascii="Times New Roman" w:hAnsi="Times New Roman" w:eastAsia="仿宋_GB2312" w:cs="Times New Roman"/>
          <w:bCs/>
          <w:sz w:val="32"/>
          <w:szCs w:val="32"/>
        </w:rPr>
        <w:t>人才</w:t>
      </w:r>
      <w:r>
        <w:rPr>
          <w:rFonts w:ascii="Times New Roman" w:hAnsi="Times New Roman" w:eastAsia="仿宋_GB2312" w:cs="Times New Roman"/>
          <w:bCs/>
          <w:sz w:val="32"/>
          <w:szCs w:val="32"/>
        </w:rPr>
        <w:t>建设，共立项</w:t>
      </w:r>
      <w:r>
        <w:rPr>
          <w:rFonts w:hint="eastAsia" w:ascii="Times New Roman" w:hAnsi="Times New Roman" w:eastAsia="仿宋_GB2312" w:cs="Times New Roman"/>
          <w:bCs/>
          <w:sz w:val="32"/>
          <w:szCs w:val="32"/>
        </w:rPr>
        <w:t>区</w:t>
      </w:r>
      <w:r>
        <w:rPr>
          <w:rFonts w:ascii="Times New Roman" w:hAnsi="Times New Roman" w:eastAsia="仿宋_GB2312" w:cs="Times New Roman"/>
          <w:bCs/>
          <w:sz w:val="32"/>
          <w:szCs w:val="32"/>
        </w:rPr>
        <w:t>高峰学科6个、领先学科8个、重点学科12个、特色专科13个</w:t>
      </w:r>
      <w:r>
        <w:rPr>
          <w:rFonts w:hint="eastAsia" w:ascii="Times New Roman" w:hAnsi="Times New Roman" w:eastAsia="仿宋_GB2312" w:cs="Times New Roman"/>
          <w:bCs/>
          <w:sz w:val="32"/>
          <w:szCs w:val="32"/>
        </w:rPr>
        <w:t>，培养区名医12名、医苑新星71名</w:t>
      </w:r>
      <w:r>
        <w:rPr>
          <w:rFonts w:ascii="Times New Roman" w:hAnsi="Times New Roman" w:eastAsia="仿宋_GB2312" w:cs="Times New Roman"/>
          <w:bCs/>
          <w:sz w:val="32"/>
          <w:szCs w:val="32"/>
        </w:rPr>
        <w:t>。持续开展公立医疗机构临床主治医师到基层定期工作，落实社区医生至上级医疗机构进修学习</w:t>
      </w:r>
      <w:r>
        <w:rPr>
          <w:rFonts w:hint="eastAsia" w:ascii="Times New Roman" w:hAnsi="Times New Roman" w:eastAsia="仿宋_GB2312" w:cs="Times New Roman"/>
          <w:bCs/>
          <w:sz w:val="32"/>
          <w:szCs w:val="32"/>
        </w:rPr>
        <w:t>，</w:t>
      </w:r>
      <w:r>
        <w:rPr>
          <w:rFonts w:ascii="Times New Roman" w:hAnsi="Times New Roman" w:eastAsia="仿宋_GB2312" w:cs="Times New Roman"/>
          <w:sz w:val="32"/>
          <w:szCs w:val="32"/>
          <w14:ligatures w14:val="standardContextual"/>
        </w:rPr>
        <w:t>开展基层骨干人员择</w:t>
      </w:r>
      <w:r>
        <w:rPr>
          <w:rFonts w:hint="eastAsia" w:ascii="仿宋_GB2312" w:hAnsi="Times New Roman" w:eastAsia="仿宋_GB2312" w:cs="Times New Roman"/>
          <w:sz w:val="32"/>
          <w:szCs w:val="32"/>
          <w14:ligatures w14:val="standardContextual"/>
        </w:rPr>
        <w:t>优“双聘”工作，畅通区域医联体成员单位间中医药人员流动及互认渠道</w:t>
      </w:r>
      <w:r>
        <w:rPr>
          <w:rFonts w:hint="eastAsia" w:ascii="仿宋_GB2312" w:hAnsi="Times New Roman" w:eastAsia="仿宋_GB2312" w:cs="Times New Roman"/>
          <w:bCs/>
          <w:sz w:val="32"/>
          <w:szCs w:val="32"/>
        </w:rPr>
        <w:t>。</w:t>
      </w:r>
      <w:bookmarkStart w:id="46" w:name="OLE_LINK23"/>
      <w:r>
        <w:rPr>
          <w:rFonts w:hint="eastAsia" w:ascii="Times New Roman" w:hAnsi="Times New Roman" w:eastAsia="仿宋_GB2312" w:cs="Times New Roman"/>
          <w:bCs/>
          <w:sz w:val="32"/>
          <w:szCs w:val="32"/>
        </w:rPr>
        <w:t>“十四五”累积</w:t>
      </w:r>
      <w:r>
        <w:rPr>
          <w:rFonts w:ascii="Times New Roman" w:hAnsi="Times New Roman" w:eastAsia="仿宋_GB2312" w:cs="Times New Roman"/>
          <w:bCs/>
          <w:sz w:val="32"/>
          <w:szCs w:val="32"/>
        </w:rPr>
        <w:t>兑现卫生人才激励资金</w:t>
      </w:r>
      <w:r>
        <w:rPr>
          <w:rFonts w:hint="eastAsia" w:ascii="Times New Roman" w:hAnsi="Times New Roman" w:eastAsia="仿宋_GB2312" w:cs="Times New Roman"/>
          <w:bCs/>
          <w:sz w:val="32"/>
          <w:szCs w:val="32"/>
        </w:rPr>
        <w:t>近1.5亿元</w:t>
      </w:r>
      <w:bookmarkEnd w:id="46"/>
      <w:r>
        <w:rPr>
          <w:rFonts w:hint="eastAsia" w:ascii="Times New Roman" w:hAnsi="Times New Roman" w:eastAsia="仿宋_GB2312" w:cs="Times New Roman"/>
          <w:bCs/>
          <w:sz w:val="32"/>
          <w:szCs w:val="32"/>
        </w:rPr>
        <w:t>。</w:t>
      </w:r>
    </w:p>
    <w:p w14:paraId="22146D5F">
      <w:pPr>
        <w:pStyle w:val="3"/>
        <w:spacing w:line="560" w:lineRule="exact"/>
      </w:pPr>
      <w:bookmarkStart w:id="47" w:name="_Toc30490"/>
      <w:r>
        <w:t>（五）卫生健康治理现代化水平稳步提升</w:t>
      </w:r>
      <w:bookmarkEnd w:id="47"/>
    </w:p>
    <w:p w14:paraId="6C3D1C07">
      <w:pPr>
        <w:adjustRightInd w:val="0"/>
        <w:snapToGrid w:val="0"/>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1.</w:t>
      </w:r>
      <w:r>
        <w:rPr>
          <w:rFonts w:ascii="Times New Roman" w:hAnsi="Times New Roman" w:eastAsia="仿宋_GB2312" w:cs="Times New Roman"/>
          <w:b/>
          <w:bCs/>
          <w:sz w:val="32"/>
          <w:szCs w:val="32"/>
        </w:rPr>
        <w:t>医药卫生体制机制改革深入推进。</w:t>
      </w:r>
      <w:r>
        <w:rPr>
          <w:rFonts w:hint="eastAsia" w:ascii="Times New Roman" w:hAnsi="Times New Roman" w:eastAsia="仿宋_GB2312" w:cs="Times New Roman"/>
          <w:sz w:val="32"/>
          <w:szCs w:val="32"/>
        </w:rPr>
        <w:t>成立区卫生健康事业发展中心，统筹推进公立医院和社区卫生服务中心改革、中医药事业发展、信息化建设和系统内单位预算管理等。</w:t>
      </w:r>
      <w:r>
        <w:rPr>
          <w:rFonts w:ascii="Times New Roman" w:hAnsi="Times New Roman" w:eastAsia="仿宋_GB2312" w:cs="Times New Roman"/>
          <w:sz w:val="32"/>
          <w:szCs w:val="32"/>
        </w:rPr>
        <w:t>稳步推进区</w:t>
      </w:r>
      <w:r>
        <w:rPr>
          <w:rFonts w:hint="eastAsia" w:ascii="Times New Roman" w:hAnsi="Times New Roman" w:eastAsia="仿宋_GB2312" w:cs="Times New Roman"/>
          <w:sz w:val="32"/>
          <w:szCs w:val="32"/>
        </w:rPr>
        <w:t>疾病预防控制</w:t>
      </w:r>
      <w:r>
        <w:rPr>
          <w:rFonts w:ascii="Times New Roman" w:hAnsi="Times New Roman" w:eastAsia="仿宋_GB2312" w:cs="Times New Roman"/>
          <w:sz w:val="32"/>
          <w:szCs w:val="32"/>
        </w:rPr>
        <w:t>体系改革，挂牌区疾病预防控制局，完成区</w:t>
      </w:r>
      <w:r>
        <w:rPr>
          <w:rFonts w:hint="eastAsia" w:ascii="Times New Roman" w:hAnsi="Times New Roman" w:eastAsia="仿宋_GB2312" w:cs="Times New Roman"/>
          <w:sz w:val="32"/>
          <w:szCs w:val="32"/>
        </w:rPr>
        <w:t>疾病预防控制</w:t>
      </w:r>
      <w:r>
        <w:rPr>
          <w:rFonts w:ascii="Times New Roman" w:hAnsi="Times New Roman" w:eastAsia="仿宋_GB2312" w:cs="Times New Roman"/>
          <w:sz w:val="32"/>
          <w:szCs w:val="32"/>
        </w:rPr>
        <w:t>中心（区</w:t>
      </w:r>
      <w:r>
        <w:rPr>
          <w:rFonts w:hint="eastAsia" w:ascii="Times New Roman" w:hAnsi="Times New Roman" w:eastAsia="仿宋_GB2312" w:cs="Times New Roman"/>
          <w:sz w:val="32"/>
          <w:szCs w:val="32"/>
        </w:rPr>
        <w:t>卫生监督</w:t>
      </w:r>
      <w:r>
        <w:rPr>
          <w:rFonts w:ascii="Times New Roman" w:hAnsi="Times New Roman" w:eastAsia="仿宋_GB2312" w:cs="Times New Roman"/>
          <w:sz w:val="32"/>
          <w:szCs w:val="32"/>
        </w:rPr>
        <w:t>所）改革重组。</w:t>
      </w:r>
      <w:bookmarkStart w:id="48" w:name="OLE_LINK13"/>
      <w:r>
        <w:rPr>
          <w:rFonts w:ascii="Times New Roman" w:hAnsi="Times New Roman" w:eastAsia="仿宋_GB2312" w:cs="Times New Roman"/>
          <w:sz w:val="32"/>
          <w:szCs w:val="32"/>
        </w:rPr>
        <w:t>公立医院高质量发展深入推进</w:t>
      </w:r>
      <w:bookmarkEnd w:id="48"/>
      <w:r>
        <w:rPr>
          <w:rFonts w:ascii="Times New Roman" w:hAnsi="Times New Roman" w:eastAsia="仿宋_GB2312" w:cs="Times New Roman"/>
          <w:sz w:val="32"/>
          <w:szCs w:val="32"/>
        </w:rPr>
        <w:t>，</w:t>
      </w:r>
      <w:r>
        <w:rPr>
          <w:rFonts w:ascii="Times New Roman" w:hAnsi="Times New Roman" w:eastAsia="仿宋_GB2312" w:cs="Times New Roman"/>
          <w:bCs/>
          <w:sz w:val="32"/>
          <w:szCs w:val="32"/>
          <w14:ligatures w14:val="standardContextual"/>
        </w:rPr>
        <w:t>复旦大学附属中山医院青浦分院</w:t>
      </w:r>
      <w:r>
        <w:rPr>
          <w:rFonts w:ascii="Times New Roman" w:hAnsi="Times New Roman" w:eastAsia="仿宋_GB2312" w:cs="Times New Roman"/>
          <w:sz w:val="32"/>
          <w:szCs w:val="32"/>
        </w:rPr>
        <w:t>和金泽镇社区卫生服务中心入选</w:t>
      </w:r>
      <w:r>
        <w:rPr>
          <w:rFonts w:hint="eastAsia" w:ascii="仿宋_GB2312" w:hAnsi="Times New Roman" w:eastAsia="仿宋_GB2312" w:cs="Times New Roman"/>
          <w:sz w:val="32"/>
          <w:szCs w:val="32"/>
        </w:rPr>
        <w:t>“上海市公立医院高质量发展试点单位”</w:t>
      </w:r>
      <w:r>
        <w:rPr>
          <w:rFonts w:ascii="Times New Roman" w:hAnsi="Times New Roman" w:eastAsia="仿宋_GB2312" w:cs="Times New Roman"/>
          <w:sz w:val="32"/>
          <w:szCs w:val="32"/>
        </w:rPr>
        <w:t>。完成区中医医院、朱家角人民医院和区精神卫生中心新一轮等级复评审。</w:t>
      </w:r>
    </w:p>
    <w:p w14:paraId="1177397E">
      <w:pPr>
        <w:adjustRightInd w:val="0"/>
        <w:snapToGrid w:val="0"/>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2.</w:t>
      </w:r>
      <w:r>
        <w:rPr>
          <w:rFonts w:ascii="Times New Roman" w:hAnsi="Times New Roman" w:eastAsia="仿宋_GB2312" w:cs="Times New Roman"/>
          <w:b/>
          <w:bCs/>
          <w:sz w:val="32"/>
          <w:szCs w:val="32"/>
        </w:rPr>
        <w:t>卫生健康监督</w:t>
      </w:r>
      <w:r>
        <w:rPr>
          <w:rFonts w:hint="eastAsia" w:ascii="Times New Roman" w:hAnsi="Times New Roman" w:eastAsia="仿宋_GB2312" w:cs="Times New Roman"/>
          <w:b/>
          <w:bCs/>
          <w:sz w:val="32"/>
          <w:szCs w:val="32"/>
        </w:rPr>
        <w:t>管理</w:t>
      </w:r>
      <w:r>
        <w:rPr>
          <w:rFonts w:ascii="Times New Roman" w:hAnsi="Times New Roman" w:eastAsia="仿宋_GB2312" w:cs="Times New Roman"/>
          <w:b/>
          <w:bCs/>
          <w:sz w:val="32"/>
          <w:szCs w:val="32"/>
        </w:rPr>
        <w:t>进一步优化。</w:t>
      </w:r>
      <w:r>
        <w:rPr>
          <w:rFonts w:hint="eastAsia" w:ascii="仿宋_GB2312" w:hAnsi="仿宋_GB2312" w:eastAsia="仿宋_GB2312" w:cs="仿宋_GB2312"/>
          <w:sz w:val="32"/>
          <w:szCs w:val="32"/>
        </w:rPr>
        <w:t>党建引领行业治理水平不断提高，公立医院党建不断强化。</w:t>
      </w:r>
      <w:r>
        <w:rPr>
          <w:rFonts w:ascii="Times New Roman" w:hAnsi="Times New Roman" w:eastAsia="仿宋_GB2312" w:cs="Times New Roman"/>
          <w:sz w:val="32"/>
          <w:szCs w:val="32"/>
        </w:rPr>
        <w:t>建设集信息采集、数据分析、执法调度、在线监测等功能于一</w:t>
      </w:r>
      <w:r>
        <w:rPr>
          <w:rFonts w:hint="eastAsia" w:ascii="仿宋_GB2312" w:hAnsi="Times New Roman" w:eastAsia="仿宋_GB2312" w:cs="Times New Roman"/>
          <w:sz w:val="32"/>
          <w:szCs w:val="32"/>
        </w:rPr>
        <w:t>体的“智慧卫监”管</w:t>
      </w:r>
      <w:r>
        <w:rPr>
          <w:rFonts w:ascii="Times New Roman" w:hAnsi="Times New Roman" w:eastAsia="仿宋_GB2312" w:cs="Times New Roman"/>
          <w:sz w:val="32"/>
          <w:szCs w:val="32"/>
        </w:rPr>
        <w:t>理平台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监管效能持续提升。加强无证行医等重点领域监管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开展医疗美容专项整治行动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成立区卫生健康系统行风建设领导小组，组建行风建设办</w:t>
      </w:r>
      <w:r>
        <w:rPr>
          <w:rFonts w:hint="eastAsia" w:ascii="Times New Roman" w:hAnsi="Times New Roman" w:eastAsia="仿宋_GB2312" w:cs="Times New Roman"/>
          <w:sz w:val="32"/>
          <w:szCs w:val="32"/>
        </w:rPr>
        <w:t>公室</w:t>
      </w:r>
      <w:r>
        <w:rPr>
          <w:rFonts w:ascii="Times New Roman" w:hAnsi="Times New Roman" w:eastAsia="仿宋_GB2312" w:cs="Times New Roman"/>
          <w:sz w:val="32"/>
          <w:szCs w:val="32"/>
        </w:rPr>
        <w:t>，将行风建设工作纳入医疗机构绩效考核体系。大力整治医药领域腐败问题，</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大型医院巡查、高额异常住院费用病例核查专项行动。</w:t>
      </w:r>
    </w:p>
    <w:p w14:paraId="36B81132">
      <w:pPr>
        <w:adjustRightInd w:val="0"/>
        <w:snapToGrid w:val="0"/>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rPr>
        <w:t>卫生健康发展营商环境不断优化。</w:t>
      </w:r>
      <w:r>
        <w:rPr>
          <w:rFonts w:hint="eastAsia" w:ascii="Times New Roman" w:hAnsi="Times New Roman" w:eastAsia="仿宋_GB2312" w:cs="Times New Roman"/>
          <w:sz w:val="32"/>
          <w:szCs w:val="32"/>
        </w:rPr>
        <w:t>持续深化行政审批制度改革，行政审批效能全面提升。落实“一网通办”改革，线上线下一体化服务能力不断提升。强化跨部门沟通机制，推进高效一件事落地见效。打造“青卫好办”服务品牌，</w:t>
      </w:r>
      <w:r>
        <w:rPr>
          <w:rFonts w:ascii="Times New Roman" w:hAnsi="Times New Roman" w:eastAsia="仿宋_GB2312" w:cs="Times New Roman"/>
          <w:sz w:val="32"/>
          <w:szCs w:val="32"/>
        </w:rPr>
        <w:t>扎实推进社会办医设置指引工作</w:t>
      </w:r>
      <w:r>
        <w:rPr>
          <w:rFonts w:hint="eastAsia" w:ascii="Times New Roman" w:hAnsi="Times New Roman" w:eastAsia="仿宋_GB2312" w:cs="Times New Roman"/>
          <w:sz w:val="32"/>
          <w:szCs w:val="32"/>
        </w:rPr>
        <w:t>，积极开展卫生健康领域一业一证智能优化试点。拓展公共服务能级，不断丰富青浦旗舰店卫生健康政务服务场景。</w:t>
      </w:r>
    </w:p>
    <w:p w14:paraId="5210923F">
      <w:pPr>
        <w:pStyle w:val="2"/>
        <w:spacing w:line="560" w:lineRule="exact"/>
        <w:rPr>
          <w:rFonts w:ascii="Times New Roman" w:hAnsi="Times New Roman"/>
        </w:rPr>
      </w:pPr>
      <w:bookmarkStart w:id="49" w:name="_Toc2477"/>
      <w:r>
        <w:rPr>
          <w:rFonts w:ascii="Times New Roman" w:hAnsi="Times New Roman"/>
        </w:rPr>
        <w:t>二、面临形势</w:t>
      </w:r>
      <w:bookmarkEnd w:id="49"/>
    </w:p>
    <w:p w14:paraId="53E91059">
      <w:pPr>
        <w:pStyle w:val="3"/>
        <w:spacing w:line="560" w:lineRule="exact"/>
      </w:pPr>
      <w:bookmarkStart w:id="50" w:name="_Toc3358"/>
      <w:bookmarkStart w:id="51" w:name="_Hlk191389843"/>
      <w:r>
        <w:t>（一）经济和人口等新发展阶段对卫生健康工作提出新要求</w:t>
      </w:r>
      <w:bookmarkEnd w:id="50"/>
    </w:p>
    <w:p w14:paraId="3A5E706A">
      <w:pPr>
        <w:snapToGrid w:val="0"/>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我国经济已由高速增长阶段转向高质量发展阶段，卫生健康高质量发展要求从</w:t>
      </w:r>
      <w:r>
        <w:rPr>
          <w:rFonts w:hint="eastAsia" w:ascii="仿宋_GB2312" w:hAnsi="Times New Roman" w:eastAsia="仿宋_GB2312" w:cs="Times New Roman"/>
          <w:kern w:val="0"/>
          <w:sz w:val="32"/>
          <w:szCs w:val="32"/>
        </w:rPr>
        <w:t>“有没有”转向“好不好”，</w:t>
      </w:r>
      <w:r>
        <w:rPr>
          <w:rFonts w:ascii="Times New Roman" w:hAnsi="Times New Roman" w:eastAsia="仿宋_GB2312" w:cs="Times New Roman"/>
          <w:kern w:val="0"/>
          <w:sz w:val="32"/>
          <w:szCs w:val="32"/>
        </w:rPr>
        <w:t>必须按照中国式现代化的本质要求推进卫生健康现代化建设，加快满足群众大幅上升的多层次、多样化、高品质健康服务需求。区域人口总量、结构和布局正经历深刻变化，老龄化、少子化等不断带来卫生健康服务新需求。同时，</w:t>
      </w:r>
      <w:r>
        <w:rPr>
          <w:rFonts w:hint="eastAsia" w:ascii="仿宋_GB2312" w:hAnsi="Times New Roman" w:eastAsia="仿宋_GB2312" w:cs="Times New Roman"/>
          <w:kern w:val="0"/>
          <w:sz w:val="32"/>
          <w:szCs w:val="32"/>
        </w:rPr>
        <w:t>“十五五”是</w:t>
      </w:r>
      <w:r>
        <w:rPr>
          <w:rFonts w:ascii="Times New Roman" w:hAnsi="Times New Roman" w:eastAsia="仿宋_GB2312" w:cs="Times New Roman"/>
          <w:kern w:val="0"/>
          <w:sz w:val="32"/>
          <w:szCs w:val="32"/>
        </w:rPr>
        <w:t>深入实施健康中国、健康上海</w:t>
      </w:r>
      <w:r>
        <w:rPr>
          <w:rFonts w:hint="eastAsia" w:ascii="Times New Roman" w:hAnsi="Times New Roman" w:eastAsia="仿宋_GB2312" w:cs="Times New Roman"/>
          <w:kern w:val="0"/>
          <w:sz w:val="32"/>
          <w:szCs w:val="32"/>
        </w:rPr>
        <w:t>和</w:t>
      </w:r>
      <w:r>
        <w:rPr>
          <w:rFonts w:ascii="Times New Roman" w:hAnsi="Times New Roman" w:eastAsia="仿宋_GB2312" w:cs="Times New Roman"/>
          <w:kern w:val="0"/>
          <w:sz w:val="32"/>
          <w:szCs w:val="32"/>
        </w:rPr>
        <w:t>健康青浦</w:t>
      </w:r>
      <w:r>
        <w:rPr>
          <w:rFonts w:hint="eastAsia" w:ascii="Times New Roman" w:hAnsi="Times New Roman" w:eastAsia="仿宋_GB2312" w:cs="Times New Roman"/>
          <w:kern w:val="0"/>
          <w:sz w:val="32"/>
          <w:szCs w:val="32"/>
        </w:rPr>
        <w:t>建设</w:t>
      </w:r>
      <w:r>
        <w:rPr>
          <w:rFonts w:ascii="Times New Roman" w:hAnsi="Times New Roman" w:eastAsia="仿宋_GB2312" w:cs="Times New Roman"/>
          <w:kern w:val="0"/>
          <w:sz w:val="32"/>
          <w:szCs w:val="32"/>
        </w:rPr>
        <w:t>的收官时期，需要坚持以人民健康为中心，推动全区卫生健康工作更好匹配支撑区域整体发展定位，进一步构建完善优质高效、系统连续、公平均衡、安全可靠、稳定可持续的医疗卫生服务体系，为人民群众提供全方位全周期的健康服务，有力保障和促进人民健康，不断增强人民群众健康获得感。</w:t>
      </w:r>
    </w:p>
    <w:bookmarkEnd w:id="51"/>
    <w:p w14:paraId="364BE065">
      <w:pPr>
        <w:pStyle w:val="3"/>
        <w:spacing w:line="560" w:lineRule="exact"/>
      </w:pPr>
      <w:bookmarkStart w:id="52" w:name="_Toc6974"/>
      <w:bookmarkStart w:id="53" w:name="_Hlk191389851"/>
      <w:r>
        <w:t>（二）多重战略和重大项目叠加为卫生健康发展带来新机遇</w:t>
      </w:r>
      <w:bookmarkEnd w:id="52"/>
    </w:p>
    <w:p w14:paraId="58D1951D">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近年来，紧抓长三角一体化发展国家战略、新城建设城市战略，</w:t>
      </w:r>
      <w:r>
        <w:rPr>
          <w:rFonts w:hint="eastAsia" w:ascii="Times New Roman" w:hAnsi="Times New Roman" w:eastAsia="仿宋_GB2312" w:cs="Times New Roman"/>
          <w:sz w:val="32"/>
          <w:szCs w:val="32"/>
        </w:rPr>
        <w:t>全区</w:t>
      </w:r>
      <w:r>
        <w:rPr>
          <w:rFonts w:ascii="Times New Roman" w:hAnsi="Times New Roman" w:eastAsia="仿宋_GB2312" w:cs="Times New Roman"/>
          <w:sz w:val="32"/>
          <w:szCs w:val="32"/>
        </w:rPr>
        <w:t>积极引进诸多高能级医疗、科创、数字等资源，不断为卫生健康事业和产业发展提供新动能</w:t>
      </w:r>
      <w:r>
        <w:rPr>
          <w:rFonts w:hint="eastAsia" w:ascii="仿宋_GB2312" w:hAnsi="Times New Roman" w:eastAsia="仿宋_GB2312" w:cs="Times New Roman"/>
          <w:sz w:val="32"/>
          <w:szCs w:val="32"/>
        </w:rPr>
        <w:t>。“十五五”期</w:t>
      </w:r>
      <w:r>
        <w:rPr>
          <w:rFonts w:ascii="Times New Roman" w:hAnsi="Times New Roman" w:eastAsia="仿宋_GB2312" w:cs="Times New Roman"/>
          <w:sz w:val="32"/>
          <w:szCs w:val="32"/>
        </w:rPr>
        <w:t>间，</w:t>
      </w:r>
      <w:r>
        <w:rPr>
          <w:rFonts w:hint="eastAsia" w:ascii="Times New Roman" w:hAnsi="Times New Roman" w:eastAsia="仿宋_GB2312" w:cs="Times New Roman"/>
          <w:sz w:val="32"/>
          <w:szCs w:val="32"/>
        </w:rPr>
        <w:t>复旦大学附属中山医院国家医学中心青浦新城院区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华为练秋湖研发中心</w:t>
      </w:r>
      <w:r>
        <w:rPr>
          <w:rFonts w:ascii="Times New Roman" w:hAnsi="Times New Roman" w:eastAsia="仿宋_GB2312" w:cs="Times New Roman"/>
          <w:sz w:val="32"/>
          <w:szCs w:val="32"/>
        </w:rPr>
        <w:t>等重大项目深入推进和全面</w:t>
      </w:r>
      <w:r>
        <w:rPr>
          <w:rFonts w:hint="eastAsia" w:ascii="Times New Roman" w:hAnsi="Times New Roman" w:eastAsia="仿宋_GB2312" w:cs="Times New Roman"/>
          <w:sz w:val="32"/>
          <w:szCs w:val="32"/>
        </w:rPr>
        <w:t>运行</w:t>
      </w:r>
      <w:r>
        <w:rPr>
          <w:rFonts w:ascii="Times New Roman" w:hAnsi="Times New Roman" w:eastAsia="仿宋_GB2312" w:cs="Times New Roman"/>
          <w:sz w:val="32"/>
          <w:szCs w:val="32"/>
        </w:rPr>
        <w:t>，将继续深刻影响全区医疗服务供给和医产融合等发展</w:t>
      </w:r>
      <w:r>
        <w:rPr>
          <w:rFonts w:hint="eastAsia" w:ascii="Times New Roman" w:hAnsi="Times New Roman" w:eastAsia="仿宋_GB2312" w:cs="Times New Roman"/>
          <w:sz w:val="32"/>
          <w:szCs w:val="32"/>
        </w:rPr>
        <w:t>格局，</w:t>
      </w:r>
      <w:r>
        <w:rPr>
          <w:rFonts w:ascii="Times New Roman" w:hAnsi="Times New Roman" w:eastAsia="仿宋_GB2312" w:cs="Times New Roman"/>
          <w:sz w:val="32"/>
          <w:szCs w:val="32"/>
        </w:rPr>
        <w:t>卫生健康事业和产业发展</w:t>
      </w:r>
      <w:r>
        <w:rPr>
          <w:rFonts w:hint="eastAsia" w:ascii="Times New Roman" w:hAnsi="Times New Roman" w:eastAsia="仿宋_GB2312" w:cs="Times New Roman"/>
          <w:sz w:val="32"/>
          <w:szCs w:val="32"/>
        </w:rPr>
        <w:t>迎来新的</w:t>
      </w:r>
      <w:r>
        <w:rPr>
          <w:rFonts w:ascii="Times New Roman" w:hAnsi="Times New Roman" w:eastAsia="仿宋_GB2312" w:cs="Times New Roman"/>
          <w:sz w:val="32"/>
          <w:szCs w:val="32"/>
        </w:rPr>
        <w:t>重大战略机遇，</w:t>
      </w:r>
      <w:r>
        <w:rPr>
          <w:rFonts w:hint="eastAsia" w:ascii="Times New Roman" w:hAnsi="Times New Roman" w:eastAsia="仿宋_GB2312" w:cs="Times New Roman"/>
          <w:sz w:val="32"/>
          <w:szCs w:val="32"/>
        </w:rPr>
        <w:t>亟须强化</w:t>
      </w:r>
      <w:r>
        <w:rPr>
          <w:rFonts w:ascii="Times New Roman" w:hAnsi="Times New Roman" w:eastAsia="仿宋_GB2312" w:cs="Times New Roman"/>
          <w:sz w:val="32"/>
          <w:szCs w:val="32"/>
        </w:rPr>
        <w:t>机遇意识，顺势而为、乘势而上，从全局视角和长远眼光思考卫生健康工作，根据区域人口导入和产业发展目标，统筹规划卫生健康发展，加快制度创新，推动资源要素流动和深度赋能。</w:t>
      </w:r>
    </w:p>
    <w:bookmarkEnd w:id="53"/>
    <w:p w14:paraId="305E1090">
      <w:pPr>
        <w:pStyle w:val="3"/>
        <w:spacing w:line="560" w:lineRule="exact"/>
      </w:pPr>
      <w:bookmarkStart w:id="54" w:name="_Toc2486"/>
      <w:bookmarkStart w:id="55" w:name="_Hlk191389860"/>
      <w:r>
        <w:t>（三）外部不确定性风险对卫生健康发出新挑战</w:t>
      </w:r>
      <w:bookmarkEnd w:id="54"/>
    </w:p>
    <w:p w14:paraId="287593F4">
      <w:pPr>
        <w:snapToGrid w:val="0"/>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逆全球化浪潮抬头，国际地缘局势复杂多变，全球进入新的动荡变革期，医疗技术壁垒、医药健康产业链供应链隐患加剧，要求卫生健康体系韧性、安全，</w:t>
      </w:r>
      <w:r>
        <w:rPr>
          <w:rFonts w:hint="eastAsia" w:ascii="Times New Roman" w:hAnsi="Times New Roman" w:eastAsia="仿宋_GB2312" w:cs="Times New Roman"/>
          <w:kern w:val="0"/>
          <w:sz w:val="32"/>
          <w:szCs w:val="32"/>
        </w:rPr>
        <w:t>确保</w:t>
      </w:r>
      <w:r>
        <w:rPr>
          <w:rFonts w:ascii="Times New Roman" w:hAnsi="Times New Roman" w:eastAsia="仿宋_GB2312" w:cs="Times New Roman"/>
          <w:kern w:val="0"/>
          <w:sz w:val="32"/>
          <w:szCs w:val="32"/>
        </w:rPr>
        <w:t>在极端情况下不中断、不停摆。公共卫生安全依然是影响现代化进程的重</w:t>
      </w:r>
      <w:r>
        <w:rPr>
          <w:rFonts w:hint="eastAsia" w:ascii="仿宋_GB2312" w:hAnsi="Times New Roman" w:eastAsia="仿宋_GB2312" w:cs="Times New Roman"/>
          <w:kern w:val="0"/>
          <w:sz w:val="32"/>
          <w:szCs w:val="32"/>
        </w:rPr>
        <w:t>要“变量”，传</w:t>
      </w:r>
      <w:r>
        <w:rPr>
          <w:rFonts w:ascii="Times New Roman" w:hAnsi="Times New Roman" w:eastAsia="仿宋_GB2312" w:cs="Times New Roman"/>
          <w:kern w:val="0"/>
          <w:sz w:val="32"/>
          <w:szCs w:val="32"/>
        </w:rPr>
        <w:t>统及新发传染病防控形势依然严峻，生物技术革命、气候变化等带来新的生物威胁，复合型卫生安全隐患增多，加之贸易、交通旅游等紧密联系使生物威胁传播速度加快、风险倍增，长三角一体化区域面临的公共卫生安全保障形势更为严峻，迫切需要完善疾病预防控制体系，构建富有韧性的卫生健康服务体系。</w:t>
      </w:r>
    </w:p>
    <w:bookmarkEnd w:id="55"/>
    <w:p w14:paraId="1971A6A0">
      <w:pPr>
        <w:pStyle w:val="3"/>
        <w:spacing w:line="560" w:lineRule="exact"/>
      </w:pPr>
      <w:bookmarkStart w:id="56" w:name="_Toc3382"/>
      <w:bookmarkStart w:id="57" w:name="_Hlk191389866"/>
      <w:r>
        <w:t>（四）新质生产力发展深刻影响服务治理范式</w:t>
      </w:r>
      <w:bookmarkEnd w:id="56"/>
    </w:p>
    <w:p w14:paraId="1743D09C">
      <w:pPr>
        <w:snapToGrid w:val="0"/>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随着新一轮科技革命和产业变革深入发展，新质生产力将成为加快推进卫生健康现代化的关键动力和战略抓手，催生卫生健康服务新模式并大幅提升服务质效，为保障人民健康提供新路径，为诊疗干预重大疾病提供新手段，为推动行业发展提供新方案，重塑预测性、预防性和个性化医疗模式，破解长期瓶颈、突破重大难题。卫生健康领域既要加快培育发展新质生产力，更要深化改革、创新机制，打通束缚新质生产力发展的堵点卡点，为培育发展新质生产力营造良好环境。</w:t>
      </w:r>
    </w:p>
    <w:p w14:paraId="1E854E5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同时</w:t>
      </w:r>
      <w:r>
        <w:rPr>
          <w:rFonts w:hint="eastAsia" w:ascii="Times New Roman" w:hAnsi="Times New Roman" w:eastAsia="仿宋_GB2312" w:cs="Times New Roman"/>
          <w:sz w:val="32"/>
          <w:szCs w:val="32"/>
        </w:rPr>
        <w:t>也应看到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我区</w:t>
      </w:r>
      <w:r>
        <w:rPr>
          <w:rFonts w:ascii="Times New Roman" w:hAnsi="Times New Roman" w:eastAsia="仿宋_GB2312" w:cs="Times New Roman"/>
          <w:sz w:val="32"/>
          <w:szCs w:val="32"/>
        </w:rPr>
        <w:t>还存在不少短板和问题。</w:t>
      </w:r>
      <w:r>
        <w:rPr>
          <w:rFonts w:hint="eastAsia" w:ascii="Times New Roman" w:hAnsi="Times New Roman" w:eastAsia="楷体_GB2312" w:cs="Times New Roman"/>
          <w:b/>
          <w:bCs/>
          <w:sz w:val="32"/>
          <w:szCs w:val="32"/>
        </w:rPr>
        <w:t>一</w:t>
      </w:r>
      <w:r>
        <w:rPr>
          <w:rFonts w:ascii="Times New Roman" w:hAnsi="Times New Roman" w:eastAsia="楷体_GB2312" w:cs="Times New Roman"/>
          <w:b/>
          <w:bCs/>
          <w:sz w:val="32"/>
          <w:szCs w:val="32"/>
        </w:rPr>
        <w:t>是医疗资源布局仍需进一步优化。</w:t>
      </w:r>
      <w:r>
        <w:rPr>
          <w:rFonts w:ascii="Times New Roman" w:hAnsi="Times New Roman" w:eastAsia="仿宋_GB2312" w:cs="Times New Roman"/>
          <w:sz w:val="32"/>
          <w:szCs w:val="32"/>
        </w:rPr>
        <w:t>辖区内医疗资源配置仍不均衡，优质医疗资源集中在青中地区，青西和青</w:t>
      </w:r>
      <w:r>
        <w:rPr>
          <w:rFonts w:hint="eastAsia" w:ascii="Times New Roman" w:hAnsi="Times New Roman" w:eastAsia="仿宋_GB2312" w:cs="Times New Roman"/>
          <w:sz w:val="32"/>
          <w:szCs w:val="32"/>
        </w:rPr>
        <w:t>东</w:t>
      </w:r>
      <w:r>
        <w:rPr>
          <w:rFonts w:ascii="Times New Roman" w:hAnsi="Times New Roman" w:eastAsia="仿宋_GB2312" w:cs="Times New Roman"/>
          <w:sz w:val="32"/>
          <w:szCs w:val="32"/>
        </w:rPr>
        <w:t>地区医疗资源整体较为薄弱</w:t>
      </w:r>
      <w:r>
        <w:rPr>
          <w:rFonts w:hint="eastAsia" w:ascii="Times New Roman" w:hAnsi="Times New Roman" w:eastAsia="仿宋_GB2312" w:cs="Times New Roman"/>
          <w:sz w:val="32"/>
          <w:szCs w:val="32"/>
        </w:rPr>
        <w:t>、缺乏区域性医疗中心</w:t>
      </w:r>
      <w:r>
        <w:rPr>
          <w:rFonts w:ascii="Times New Roman" w:hAnsi="Times New Roman" w:eastAsia="仿宋_GB2312" w:cs="Times New Roman"/>
          <w:sz w:val="32"/>
          <w:szCs w:val="32"/>
        </w:rPr>
        <w:t>，部分社区</w:t>
      </w:r>
      <w:r>
        <w:rPr>
          <w:rFonts w:hint="eastAsia" w:ascii="Times New Roman" w:hAnsi="Times New Roman" w:eastAsia="仿宋_GB2312" w:cs="Times New Roman"/>
          <w:sz w:val="32"/>
          <w:szCs w:val="32"/>
        </w:rPr>
        <w:t>、村卫生室的</w:t>
      </w:r>
      <w:r>
        <w:rPr>
          <w:rFonts w:ascii="Times New Roman" w:hAnsi="Times New Roman" w:eastAsia="仿宋_GB2312" w:cs="Times New Roman"/>
          <w:sz w:val="32"/>
          <w:szCs w:val="32"/>
        </w:rPr>
        <w:t>空间规模、硬件设施短板明显。</w:t>
      </w:r>
      <w:r>
        <w:rPr>
          <w:rFonts w:ascii="Times New Roman" w:hAnsi="Times New Roman" w:eastAsia="楷体_GB2312" w:cs="Times New Roman"/>
          <w:b/>
          <w:bCs/>
          <w:sz w:val="32"/>
          <w:szCs w:val="32"/>
        </w:rPr>
        <w:t>二是医疗机构差异化发展方向定位仍不够清晰。</w:t>
      </w:r>
      <w:r>
        <w:rPr>
          <w:rFonts w:ascii="Times New Roman" w:hAnsi="Times New Roman" w:eastAsia="仿宋_GB2312" w:cs="Times New Roman"/>
          <w:sz w:val="32"/>
          <w:szCs w:val="32"/>
        </w:rPr>
        <w:t>紧密型城市医疗集团建设</w:t>
      </w:r>
      <w:r>
        <w:rPr>
          <w:rFonts w:hint="eastAsia" w:ascii="Times New Roman" w:hAnsi="Times New Roman" w:eastAsia="仿宋_GB2312" w:cs="Times New Roman"/>
          <w:sz w:val="32"/>
          <w:szCs w:val="32"/>
        </w:rPr>
        <w:t>有待进一步做实做深</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部分区级医院定位仍不明确，医院转型和高质量发展任务艰巨</w:t>
      </w:r>
      <w:r>
        <w:rPr>
          <w:rFonts w:ascii="Times New Roman" w:hAnsi="Times New Roman" w:eastAsia="仿宋_GB2312" w:cs="Times New Roman"/>
          <w:sz w:val="32"/>
          <w:szCs w:val="32"/>
        </w:rPr>
        <w:t>，</w:t>
      </w:r>
      <w:bookmarkStart w:id="58" w:name="OLE_LINK19"/>
      <w:r>
        <w:rPr>
          <w:rFonts w:ascii="Times New Roman" w:hAnsi="Times New Roman" w:eastAsia="仿宋_GB2312" w:cs="Times New Roman"/>
          <w:sz w:val="32"/>
          <w:szCs w:val="32"/>
        </w:rPr>
        <w:t>社区</w:t>
      </w:r>
      <w:r>
        <w:rPr>
          <w:rFonts w:hint="eastAsia" w:ascii="Times New Roman" w:hAnsi="Times New Roman" w:eastAsia="仿宋_GB2312" w:cs="Times New Roman"/>
          <w:sz w:val="32"/>
          <w:szCs w:val="32"/>
        </w:rPr>
        <w:t>卫生</w:t>
      </w:r>
      <w:r>
        <w:rPr>
          <w:rFonts w:ascii="Times New Roman" w:hAnsi="Times New Roman" w:eastAsia="仿宋_GB2312" w:cs="Times New Roman"/>
          <w:sz w:val="32"/>
          <w:szCs w:val="32"/>
        </w:rPr>
        <w:t>服务中心</w:t>
      </w:r>
      <w:bookmarkEnd w:id="58"/>
      <w:r>
        <w:rPr>
          <w:rFonts w:ascii="Times New Roman" w:hAnsi="Times New Roman" w:eastAsia="仿宋_GB2312" w:cs="Times New Roman"/>
          <w:sz w:val="32"/>
          <w:szCs w:val="32"/>
        </w:rPr>
        <w:t>是否向</w:t>
      </w:r>
      <w:bookmarkStart w:id="59" w:name="OLE_LINK14"/>
      <w:r>
        <w:rPr>
          <w:rFonts w:ascii="Times New Roman" w:hAnsi="Times New Roman" w:eastAsia="仿宋_GB2312" w:cs="Times New Roman"/>
          <w:sz w:val="32"/>
          <w:szCs w:val="32"/>
        </w:rPr>
        <w:t>社区医院发展</w:t>
      </w:r>
      <w:bookmarkEnd w:id="59"/>
      <w:r>
        <w:rPr>
          <w:rFonts w:ascii="Times New Roman" w:hAnsi="Times New Roman" w:eastAsia="仿宋_GB2312" w:cs="Times New Roman"/>
          <w:sz w:val="32"/>
          <w:szCs w:val="32"/>
        </w:rPr>
        <w:t>存在较大不确定性。</w:t>
      </w:r>
      <w:r>
        <w:rPr>
          <w:rFonts w:ascii="Times New Roman" w:hAnsi="Times New Roman" w:eastAsia="楷体_GB2312" w:cs="Times New Roman"/>
          <w:b/>
          <w:bCs/>
          <w:sz w:val="32"/>
          <w:szCs w:val="32"/>
        </w:rPr>
        <w:t>三是人才</w:t>
      </w:r>
      <w:r>
        <w:rPr>
          <w:rFonts w:hint="eastAsia" w:ascii="Times New Roman" w:hAnsi="Times New Roman" w:eastAsia="楷体_GB2312" w:cs="Times New Roman"/>
          <w:b/>
          <w:bCs/>
          <w:sz w:val="32"/>
          <w:szCs w:val="32"/>
        </w:rPr>
        <w:t>结构性矛盾制约发展</w:t>
      </w:r>
      <w:r>
        <w:rPr>
          <w:rFonts w:ascii="Times New Roman" w:hAnsi="Times New Roman" w:eastAsia="楷体_GB2312" w:cs="Times New Roman"/>
          <w:b/>
          <w:bCs/>
          <w:sz w:val="32"/>
          <w:szCs w:val="32"/>
        </w:rPr>
        <w:t>。</w:t>
      </w:r>
      <w:r>
        <w:rPr>
          <w:rFonts w:ascii="Times New Roman" w:hAnsi="Times New Roman" w:eastAsia="仿宋_GB2312" w:cs="Times New Roman"/>
          <w:sz w:val="32"/>
          <w:szCs w:val="32"/>
        </w:rPr>
        <w:t>卫生健康人才资源总量不足、结构不够合理、能力仍待提升</w:t>
      </w:r>
      <w:r>
        <w:rPr>
          <w:rFonts w:hint="eastAsia" w:ascii="Times New Roman" w:hAnsi="Times New Roman" w:eastAsia="仿宋_GB2312" w:cs="Times New Roman"/>
          <w:sz w:val="32"/>
          <w:szCs w:val="32"/>
        </w:rPr>
        <w:t>等问题愈发凸显，高层次人才、复合型人才不足，</w:t>
      </w:r>
      <w:r>
        <w:rPr>
          <w:rFonts w:ascii="Times New Roman" w:hAnsi="Times New Roman" w:eastAsia="仿宋_GB2312" w:cs="Times New Roman"/>
          <w:sz w:val="32"/>
          <w:szCs w:val="32"/>
        </w:rPr>
        <w:t>学科带头人</w:t>
      </w:r>
      <w:r>
        <w:rPr>
          <w:rFonts w:hint="eastAsia" w:ascii="Times New Roman" w:hAnsi="Times New Roman" w:eastAsia="仿宋_GB2312" w:cs="Times New Roman"/>
          <w:sz w:val="32"/>
          <w:szCs w:val="32"/>
        </w:rPr>
        <w:t>及中青年骨干断层明显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中医药、精神医学、急救、医学影像、麻醉学、康复、护理、公共卫生等专业人才紧缺，乡村医生即将</w:t>
      </w:r>
      <w:r>
        <w:rPr>
          <w:rFonts w:ascii="Times New Roman" w:hAnsi="Times New Roman" w:eastAsia="仿宋_GB2312" w:cs="Times New Roman"/>
          <w:sz w:val="32"/>
          <w:szCs w:val="32"/>
        </w:rPr>
        <w:t>断层。</w:t>
      </w:r>
      <w:r>
        <w:rPr>
          <w:rFonts w:ascii="Times New Roman" w:hAnsi="Times New Roman" w:eastAsia="楷体_GB2312" w:cs="Times New Roman"/>
          <w:b/>
          <w:bCs/>
          <w:sz w:val="32"/>
          <w:szCs w:val="32"/>
        </w:rPr>
        <w:t>四是数智赋能仍需加强。</w:t>
      </w:r>
      <w:r>
        <w:rPr>
          <w:rFonts w:hint="eastAsia" w:ascii="仿宋_GB2312" w:hAnsi="Times New Roman" w:eastAsia="仿宋_GB2312" w:cs="Times New Roman"/>
          <w:sz w:val="32"/>
          <w:szCs w:val="32"/>
        </w:rPr>
        <w:t>区级医院</w:t>
      </w:r>
      <w:r>
        <w:rPr>
          <w:rFonts w:ascii="Times New Roman" w:hAnsi="Times New Roman" w:eastAsia="仿宋_GB2312" w:cs="Times New Roman"/>
          <w:sz w:val="32"/>
          <w:szCs w:val="32"/>
        </w:rPr>
        <w:t>信息化建设欠账较多，</w:t>
      </w:r>
      <w:r>
        <w:rPr>
          <w:rFonts w:hint="eastAsia" w:ascii="Times New Roman" w:hAnsi="Times New Roman" w:eastAsia="仿宋_GB2312" w:cs="Times New Roman"/>
          <w:sz w:val="32"/>
          <w:szCs w:val="32"/>
        </w:rPr>
        <w:t>机房</w:t>
      </w:r>
      <w:r>
        <w:rPr>
          <w:rFonts w:ascii="Times New Roman" w:hAnsi="Times New Roman" w:eastAsia="仿宋_GB2312" w:cs="Times New Roman"/>
          <w:sz w:val="32"/>
          <w:szCs w:val="32"/>
        </w:rPr>
        <w:t>环境、设施设备等制约明显，项目资金筹措难、建设推进慢</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区域卫生信息平台建设仍有不足，不同医疗机构间的互联互通有待深化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信息化应用不充分，信息</w:t>
      </w:r>
      <w:r>
        <w:rPr>
          <w:rFonts w:hint="eastAsia" w:ascii="Times New Roman" w:hAnsi="Times New Roman" w:eastAsia="仿宋_GB2312" w:cs="Times New Roman"/>
          <w:sz w:val="32"/>
          <w:szCs w:val="32"/>
        </w:rPr>
        <w:t>数智</w:t>
      </w:r>
      <w:r>
        <w:rPr>
          <w:rFonts w:ascii="Times New Roman" w:hAnsi="Times New Roman" w:eastAsia="仿宋_GB2312" w:cs="Times New Roman"/>
          <w:sz w:val="32"/>
          <w:szCs w:val="32"/>
        </w:rPr>
        <w:t>技术对提升居民利用服务便利度、满意度等方面的作用较为有限。</w:t>
      </w:r>
      <w:bookmarkEnd w:id="57"/>
    </w:p>
    <w:p w14:paraId="420D51F4">
      <w:pPr>
        <w:pStyle w:val="2"/>
        <w:spacing w:line="560" w:lineRule="exact"/>
        <w:rPr>
          <w:rFonts w:ascii="Times New Roman" w:hAnsi="Times New Roman"/>
        </w:rPr>
      </w:pPr>
      <w:bookmarkStart w:id="60" w:name="_Toc2475"/>
      <w:r>
        <w:rPr>
          <w:rFonts w:ascii="Times New Roman" w:hAnsi="Times New Roman"/>
        </w:rPr>
        <w:t>三、总体要求</w:t>
      </w:r>
      <w:bookmarkEnd w:id="60"/>
    </w:p>
    <w:p w14:paraId="42FB52C7">
      <w:pPr>
        <w:pStyle w:val="3"/>
        <w:spacing w:line="560" w:lineRule="exact"/>
      </w:pPr>
      <w:bookmarkStart w:id="61" w:name="_Toc25695"/>
      <w:r>
        <w:t>（一）指导</w:t>
      </w:r>
      <w:r>
        <w:rPr>
          <w:rFonts w:hint="eastAsia"/>
        </w:rPr>
        <w:t>思想</w:t>
      </w:r>
      <w:bookmarkEnd w:id="61"/>
    </w:p>
    <w:p w14:paraId="3BA02B84">
      <w:pPr>
        <w:widowControl/>
        <w:pBdr>
          <w:bottom w:val="single" w:color="FFFFFF" w:sz="4" w:space="5"/>
        </w:pBdr>
        <w:tabs>
          <w:tab w:val="left" w:pos="1440"/>
        </w:tabs>
        <w:spacing w:line="560" w:lineRule="exact"/>
        <w:ind w:firstLine="640" w:firstLineChars="200"/>
        <w:contextualSpacing/>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以习近平新时代中国特色社会主义思想为指导，全面贯彻落实党的二十大和二十届</w:t>
      </w:r>
      <w:r>
        <w:rPr>
          <w:rFonts w:hint="eastAsia" w:ascii="Times New Roman" w:hAnsi="Times New Roman" w:eastAsia="仿宋_GB2312" w:cs="Times New Roman"/>
          <w:kern w:val="0"/>
          <w:sz w:val="32"/>
          <w:szCs w:val="32"/>
        </w:rPr>
        <w:t>历次</w:t>
      </w:r>
      <w:r>
        <w:rPr>
          <w:rFonts w:ascii="Times New Roman" w:hAnsi="Times New Roman" w:eastAsia="仿宋_GB2312" w:cs="Times New Roman"/>
          <w:kern w:val="0"/>
          <w:sz w:val="32"/>
          <w:szCs w:val="32"/>
        </w:rPr>
        <w:t>全会精神</w:t>
      </w:r>
      <w:r>
        <w:rPr>
          <w:rFonts w:hint="eastAsia" w:ascii="Times New Roman" w:hAnsi="Times New Roman" w:eastAsia="仿宋_GB2312" w:cs="Times New Roman"/>
          <w:kern w:val="0"/>
          <w:sz w:val="32"/>
          <w:szCs w:val="32"/>
        </w:rPr>
        <w:t>及</w:t>
      </w:r>
      <w:r>
        <w:rPr>
          <w:rFonts w:ascii="Times New Roman" w:hAnsi="Times New Roman" w:eastAsia="仿宋_GB2312" w:cs="Times New Roman"/>
          <w:kern w:val="0"/>
          <w:sz w:val="32"/>
          <w:szCs w:val="32"/>
        </w:rPr>
        <w:t>十二届市委历次全会精神，坚持和加强党的领导，坚持</w:t>
      </w:r>
      <w:r>
        <w:rPr>
          <w:rFonts w:hint="eastAsia" w:ascii="Times New Roman" w:hAnsi="Times New Roman" w:eastAsia="仿宋_GB2312" w:cs="Times New Roman"/>
          <w:kern w:val="0"/>
          <w:sz w:val="32"/>
          <w:szCs w:val="32"/>
        </w:rPr>
        <w:t>把人民健康放在</w:t>
      </w:r>
      <w:r>
        <w:rPr>
          <w:rFonts w:ascii="Times New Roman" w:hAnsi="Times New Roman" w:eastAsia="仿宋_GB2312" w:cs="Times New Roman"/>
          <w:kern w:val="0"/>
          <w:sz w:val="32"/>
          <w:szCs w:val="32"/>
        </w:rPr>
        <w:t>优先发展</w:t>
      </w:r>
      <w:r>
        <w:rPr>
          <w:rFonts w:hint="eastAsia" w:ascii="Times New Roman" w:hAnsi="Times New Roman" w:eastAsia="仿宋_GB2312" w:cs="Times New Roman"/>
          <w:kern w:val="0"/>
          <w:sz w:val="32"/>
          <w:szCs w:val="32"/>
        </w:rPr>
        <w:t>的</w:t>
      </w:r>
      <w:r>
        <w:rPr>
          <w:rFonts w:ascii="Times New Roman" w:hAnsi="Times New Roman" w:eastAsia="仿宋_GB2312" w:cs="Times New Roman"/>
          <w:kern w:val="0"/>
          <w:sz w:val="32"/>
          <w:szCs w:val="32"/>
        </w:rPr>
        <w:t>战略</w:t>
      </w:r>
      <w:r>
        <w:rPr>
          <w:rFonts w:hint="eastAsia" w:ascii="Times New Roman" w:hAnsi="Times New Roman" w:eastAsia="仿宋_GB2312" w:cs="Times New Roman"/>
          <w:kern w:val="0"/>
          <w:sz w:val="32"/>
          <w:szCs w:val="32"/>
        </w:rPr>
        <w:t>位置</w:t>
      </w:r>
      <w:r>
        <w:rPr>
          <w:rFonts w:ascii="Times New Roman" w:hAnsi="Times New Roman" w:eastAsia="仿宋_GB2312" w:cs="Times New Roman"/>
          <w:kern w:val="0"/>
          <w:sz w:val="32"/>
          <w:szCs w:val="32"/>
        </w:rPr>
        <w:t>，坚持卫生健康事业的公益性，坚持新时代卫生健康工作方针，统筹卫生健康高质量发展</w:t>
      </w:r>
      <w:r>
        <w:rPr>
          <w:rFonts w:hint="eastAsia" w:ascii="Times New Roman" w:hAnsi="Times New Roman" w:eastAsia="仿宋_GB2312" w:cs="Times New Roman"/>
          <w:kern w:val="0"/>
          <w:sz w:val="32"/>
          <w:szCs w:val="32"/>
        </w:rPr>
        <w:t>、高水平开放</w:t>
      </w:r>
      <w:r>
        <w:rPr>
          <w:rFonts w:ascii="Times New Roman" w:hAnsi="Times New Roman" w:eastAsia="仿宋_GB2312" w:cs="Times New Roman"/>
          <w:kern w:val="0"/>
          <w:sz w:val="32"/>
          <w:szCs w:val="32"/>
        </w:rPr>
        <w:t>和高水平安全，</w:t>
      </w:r>
      <w:r>
        <w:rPr>
          <w:rFonts w:hint="eastAsia" w:ascii="Times New Roman" w:hAnsi="Times New Roman" w:eastAsia="仿宋_GB2312" w:cs="Times New Roman"/>
          <w:kern w:val="0"/>
          <w:sz w:val="32"/>
          <w:szCs w:val="32"/>
        </w:rPr>
        <w:t>聚焦卫生健康现代化建设，</w:t>
      </w:r>
      <w:r>
        <w:rPr>
          <w:rFonts w:ascii="Times New Roman" w:hAnsi="Times New Roman" w:eastAsia="仿宋_GB2312" w:cs="Times New Roman"/>
          <w:kern w:val="0"/>
          <w:sz w:val="32"/>
          <w:szCs w:val="32"/>
        </w:rPr>
        <w:t>持续深化卫生健康改革，</w:t>
      </w:r>
      <w:r>
        <w:rPr>
          <w:rFonts w:hint="eastAsia" w:ascii="Times New Roman" w:hAnsi="Times New Roman" w:eastAsia="仿宋_GB2312" w:cs="Times New Roman"/>
          <w:kern w:val="0"/>
          <w:sz w:val="32"/>
          <w:szCs w:val="32"/>
        </w:rPr>
        <w:t>积极</w:t>
      </w:r>
      <w:r>
        <w:rPr>
          <w:rFonts w:ascii="Times New Roman" w:hAnsi="Times New Roman" w:eastAsia="仿宋_GB2312" w:cs="Times New Roman"/>
          <w:kern w:val="0"/>
          <w:sz w:val="32"/>
          <w:szCs w:val="32"/>
        </w:rPr>
        <w:t>推进卫生健康新质生产力发展，切实增进人民健康福祉，推动全区</w:t>
      </w:r>
      <w:r>
        <w:rPr>
          <w:rFonts w:hint="eastAsia" w:ascii="Times New Roman" w:hAnsi="Times New Roman" w:eastAsia="仿宋_GB2312" w:cs="Times New Roman"/>
          <w:kern w:val="0"/>
          <w:sz w:val="32"/>
          <w:szCs w:val="32"/>
        </w:rPr>
        <w:t>卫生健康事业发展</w:t>
      </w:r>
      <w:r>
        <w:rPr>
          <w:rFonts w:ascii="Times New Roman" w:hAnsi="Times New Roman" w:eastAsia="仿宋_GB2312" w:cs="Times New Roman"/>
          <w:kern w:val="0"/>
          <w:sz w:val="32"/>
          <w:szCs w:val="32"/>
        </w:rPr>
        <w:t>更加均衡、更为高效、更有韧性、更高品质、更可持续，</w:t>
      </w:r>
      <w:r>
        <w:rPr>
          <w:rFonts w:hint="eastAsia" w:ascii="Times New Roman" w:hAnsi="Times New Roman" w:eastAsia="仿宋_GB2312" w:cs="Times New Roman"/>
          <w:kern w:val="0"/>
          <w:sz w:val="32"/>
          <w:szCs w:val="32"/>
        </w:rPr>
        <w:t>全力推动卫生健康事业与区域发展同频共振、互促共进，</w:t>
      </w:r>
      <w:r>
        <w:rPr>
          <w:rFonts w:ascii="Times New Roman" w:hAnsi="Times New Roman" w:eastAsia="仿宋_GB2312" w:cs="Times New Roman"/>
          <w:kern w:val="0"/>
          <w:sz w:val="32"/>
          <w:szCs w:val="32"/>
        </w:rPr>
        <w:t>为经济社会发展提供强有力的保障和支撑</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为建设</w:t>
      </w:r>
      <w:bookmarkStart w:id="62" w:name="OLE_LINK20"/>
      <w:r>
        <w:rPr>
          <w:rFonts w:ascii="Times New Roman" w:hAnsi="Times New Roman" w:eastAsia="仿宋_GB2312" w:cs="Times New Roman"/>
          <w:kern w:val="0"/>
          <w:sz w:val="32"/>
          <w:szCs w:val="32"/>
        </w:rPr>
        <w:t>社会主义现代化国际大都市的枢纽门户</w:t>
      </w:r>
      <w:bookmarkEnd w:id="62"/>
      <w:r>
        <w:rPr>
          <w:rFonts w:ascii="Times New Roman" w:hAnsi="Times New Roman" w:eastAsia="仿宋_GB2312" w:cs="Times New Roman"/>
          <w:kern w:val="0"/>
          <w:sz w:val="32"/>
          <w:szCs w:val="32"/>
        </w:rPr>
        <w:t>筑牢健康根基</w:t>
      </w:r>
      <w:r>
        <w:rPr>
          <w:rFonts w:hint="eastAsia" w:ascii="Times New Roman" w:hAnsi="Times New Roman" w:eastAsia="仿宋_GB2312" w:cs="Times New Roman"/>
          <w:kern w:val="0"/>
          <w:sz w:val="32"/>
          <w:szCs w:val="32"/>
        </w:rPr>
        <w:t>，为</w:t>
      </w:r>
      <w:bookmarkStart w:id="63" w:name="OLE_LINK54"/>
      <w:r>
        <w:rPr>
          <w:rFonts w:hint="eastAsia" w:ascii="Times New Roman" w:hAnsi="Times New Roman" w:eastAsia="仿宋_GB2312" w:cs="Times New Roman"/>
          <w:kern w:val="0"/>
          <w:sz w:val="32"/>
          <w:szCs w:val="32"/>
        </w:rPr>
        <w:t>长三角创新枢纽</w:t>
      </w:r>
      <w:bookmarkEnd w:id="63"/>
      <w:r>
        <w:rPr>
          <w:rFonts w:hint="eastAsia" w:ascii="Times New Roman" w:hAnsi="Times New Roman" w:eastAsia="仿宋_GB2312" w:cs="Times New Roman"/>
          <w:kern w:val="0"/>
          <w:sz w:val="32"/>
          <w:szCs w:val="32"/>
        </w:rPr>
        <w:t>建设提供新动能</w:t>
      </w:r>
      <w:r>
        <w:rPr>
          <w:rFonts w:ascii="Times New Roman" w:hAnsi="Times New Roman" w:eastAsia="仿宋_GB2312" w:cs="Times New Roman"/>
          <w:kern w:val="0"/>
          <w:sz w:val="32"/>
          <w:szCs w:val="32"/>
        </w:rPr>
        <w:t>。</w:t>
      </w:r>
    </w:p>
    <w:p w14:paraId="3A7A256C">
      <w:pPr>
        <w:pStyle w:val="3"/>
        <w:spacing w:line="560" w:lineRule="exact"/>
      </w:pPr>
      <w:bookmarkStart w:id="64" w:name="_Toc30012"/>
      <w:r>
        <w:t>（二）基本原则</w:t>
      </w:r>
      <w:bookmarkEnd w:id="64"/>
    </w:p>
    <w:p w14:paraId="7CC0D846">
      <w:pPr>
        <w:widowControl/>
        <w:pBdr>
          <w:bottom w:val="single" w:color="FFFFFF" w:sz="4" w:space="5"/>
        </w:pBdr>
        <w:tabs>
          <w:tab w:val="left" w:pos="1440"/>
        </w:tabs>
        <w:spacing w:line="560" w:lineRule="exact"/>
        <w:ind w:firstLine="643" w:firstLineChars="200"/>
        <w:contextualSpacing/>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1.</w:t>
      </w:r>
      <w:bookmarkStart w:id="65" w:name="OLE_LINK44"/>
      <w:r>
        <w:rPr>
          <w:rFonts w:ascii="Times New Roman" w:hAnsi="Times New Roman" w:eastAsia="仿宋_GB2312" w:cs="Times New Roman"/>
          <w:b/>
          <w:bCs/>
          <w:kern w:val="0"/>
          <w:sz w:val="32"/>
          <w:szCs w:val="32"/>
        </w:rPr>
        <w:t>坚持</w:t>
      </w:r>
      <w:r>
        <w:rPr>
          <w:rFonts w:hint="eastAsia" w:ascii="Times New Roman" w:hAnsi="Times New Roman" w:eastAsia="仿宋_GB2312" w:cs="Times New Roman"/>
          <w:b/>
          <w:bCs/>
          <w:kern w:val="0"/>
          <w:sz w:val="32"/>
          <w:szCs w:val="32"/>
        </w:rPr>
        <w:t>人民至上，</w:t>
      </w:r>
      <w:r>
        <w:rPr>
          <w:rFonts w:ascii="Times New Roman" w:hAnsi="Times New Roman" w:eastAsia="仿宋_GB2312" w:cs="Times New Roman"/>
          <w:b/>
          <w:bCs/>
          <w:kern w:val="0"/>
          <w:sz w:val="32"/>
          <w:szCs w:val="32"/>
        </w:rPr>
        <w:t>健康优先</w:t>
      </w:r>
      <w:r>
        <w:rPr>
          <w:rFonts w:hint="eastAsia" w:ascii="Times New Roman" w:hAnsi="Times New Roman" w:eastAsia="仿宋_GB2312" w:cs="Times New Roman"/>
          <w:b/>
          <w:bCs/>
          <w:kern w:val="0"/>
          <w:sz w:val="32"/>
          <w:szCs w:val="32"/>
        </w:rPr>
        <w:t>发展</w:t>
      </w:r>
      <w:bookmarkEnd w:id="65"/>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贯彻落实健康优先发展战略，</w:t>
      </w:r>
      <w:r>
        <w:rPr>
          <w:rFonts w:hint="eastAsia" w:ascii="Times New Roman" w:hAnsi="Times New Roman" w:eastAsia="仿宋_GB2312" w:cs="Times New Roman"/>
          <w:kern w:val="0"/>
          <w:sz w:val="32"/>
          <w:szCs w:val="32"/>
        </w:rPr>
        <w:t>将促进健康的理念融入公共政策制定实施全过程</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加快</w:t>
      </w:r>
      <w:r>
        <w:rPr>
          <w:rFonts w:ascii="Times New Roman" w:hAnsi="Times New Roman" w:eastAsia="仿宋_GB2312" w:cs="Times New Roman"/>
          <w:kern w:val="0"/>
          <w:sz w:val="32"/>
          <w:szCs w:val="32"/>
        </w:rPr>
        <w:t>推动以治病为中心向以健康为中心转变，</w:t>
      </w:r>
      <w:r>
        <w:rPr>
          <w:rFonts w:hint="eastAsia" w:ascii="Times New Roman" w:hAnsi="Times New Roman" w:eastAsia="仿宋_GB2312" w:cs="Times New Roman"/>
          <w:kern w:val="0"/>
          <w:sz w:val="32"/>
          <w:szCs w:val="32"/>
        </w:rPr>
        <w:t>促进主动健康，</w:t>
      </w:r>
      <w:r>
        <w:rPr>
          <w:rFonts w:ascii="Times New Roman" w:hAnsi="Times New Roman" w:eastAsia="仿宋_GB2312" w:cs="Times New Roman"/>
          <w:kern w:val="0"/>
          <w:sz w:val="32"/>
          <w:szCs w:val="32"/>
        </w:rPr>
        <w:t>形成大健康治理格局和全社会维护促进健康的强大合力。</w:t>
      </w:r>
    </w:p>
    <w:p w14:paraId="471F588D">
      <w:pPr>
        <w:widowControl/>
        <w:pBdr>
          <w:bottom w:val="single" w:color="FFFFFF" w:sz="4" w:space="5"/>
        </w:pBdr>
        <w:tabs>
          <w:tab w:val="left" w:pos="1440"/>
        </w:tabs>
        <w:spacing w:line="560" w:lineRule="exact"/>
        <w:ind w:firstLine="643" w:firstLineChars="200"/>
        <w:contextualSpacing/>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2</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b/>
          <w:bCs/>
          <w:kern w:val="0"/>
          <w:sz w:val="32"/>
          <w:szCs w:val="32"/>
        </w:rPr>
        <w:t>注重</w:t>
      </w:r>
      <w:r>
        <w:rPr>
          <w:rFonts w:ascii="Times New Roman" w:hAnsi="Times New Roman" w:eastAsia="仿宋_GB2312" w:cs="Times New Roman"/>
          <w:b/>
          <w:bCs/>
          <w:kern w:val="0"/>
          <w:sz w:val="32"/>
          <w:szCs w:val="32"/>
        </w:rPr>
        <w:t>公益</w:t>
      </w:r>
      <w:r>
        <w:rPr>
          <w:rFonts w:hint="eastAsia" w:ascii="Times New Roman" w:hAnsi="Times New Roman" w:eastAsia="仿宋_GB2312" w:cs="Times New Roman"/>
          <w:b/>
          <w:bCs/>
          <w:kern w:val="0"/>
          <w:sz w:val="32"/>
          <w:szCs w:val="32"/>
        </w:rPr>
        <w:t>普惠，推动</w:t>
      </w:r>
      <w:r>
        <w:rPr>
          <w:rFonts w:ascii="Times New Roman" w:hAnsi="Times New Roman" w:eastAsia="仿宋_GB2312" w:cs="Times New Roman"/>
          <w:b/>
          <w:bCs/>
          <w:kern w:val="0"/>
          <w:sz w:val="32"/>
          <w:szCs w:val="32"/>
        </w:rPr>
        <w:t>内涵发展。</w:t>
      </w:r>
      <w:r>
        <w:rPr>
          <w:rFonts w:ascii="Times New Roman" w:hAnsi="Times New Roman" w:eastAsia="仿宋_GB2312" w:cs="Times New Roman"/>
          <w:kern w:val="0"/>
          <w:sz w:val="32"/>
          <w:szCs w:val="32"/>
        </w:rPr>
        <w:t>立足全人群和全生命周期，</w:t>
      </w:r>
      <w:r>
        <w:rPr>
          <w:rFonts w:hint="eastAsia" w:ascii="Times New Roman" w:hAnsi="Times New Roman" w:eastAsia="仿宋_GB2312" w:cs="Times New Roman"/>
          <w:kern w:val="0"/>
          <w:sz w:val="32"/>
          <w:szCs w:val="32"/>
        </w:rPr>
        <w:t>以基层为重点，强化基本公共卫生服务均等化，提升基本医疗服务均质化，增强优质资源的均衡性和可及性，持续提升服务能级和品质，不断增强人民群众健康获得感</w:t>
      </w:r>
      <w:r>
        <w:rPr>
          <w:rFonts w:ascii="Times New Roman" w:hAnsi="Times New Roman" w:eastAsia="仿宋_GB2312" w:cs="Times New Roman"/>
          <w:kern w:val="0"/>
          <w:sz w:val="32"/>
          <w:szCs w:val="32"/>
        </w:rPr>
        <w:t>。</w:t>
      </w:r>
    </w:p>
    <w:p w14:paraId="138ABDA8">
      <w:pPr>
        <w:widowControl/>
        <w:pBdr>
          <w:bottom w:val="single" w:color="FFFFFF" w:sz="4" w:space="5"/>
        </w:pBdr>
        <w:tabs>
          <w:tab w:val="left" w:pos="1440"/>
        </w:tabs>
        <w:spacing w:line="560" w:lineRule="exact"/>
        <w:ind w:firstLine="643" w:firstLineChars="200"/>
        <w:contextualSpacing/>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3</w:t>
      </w:r>
      <w:r>
        <w:rPr>
          <w:rFonts w:ascii="Times New Roman" w:hAnsi="Times New Roman" w:eastAsia="仿宋_GB2312" w:cs="Times New Roman"/>
          <w:b/>
          <w:bCs/>
          <w:kern w:val="0"/>
          <w:sz w:val="32"/>
          <w:szCs w:val="32"/>
        </w:rPr>
        <w:t>.</w:t>
      </w:r>
      <w:bookmarkStart w:id="66" w:name="OLE_LINK47"/>
      <w:r>
        <w:rPr>
          <w:rFonts w:ascii="Times New Roman" w:hAnsi="Times New Roman" w:eastAsia="仿宋_GB2312" w:cs="Times New Roman"/>
          <w:b/>
          <w:bCs/>
          <w:kern w:val="0"/>
          <w:sz w:val="32"/>
          <w:szCs w:val="32"/>
        </w:rPr>
        <w:t>强化整合协同</w:t>
      </w:r>
      <w:r>
        <w:rPr>
          <w:rFonts w:hint="eastAsia" w:ascii="Times New Roman" w:hAnsi="Times New Roman" w:eastAsia="仿宋_GB2312" w:cs="Times New Roman"/>
          <w:b/>
          <w:bCs/>
          <w:kern w:val="0"/>
          <w:sz w:val="32"/>
          <w:szCs w:val="32"/>
        </w:rPr>
        <w:t>，</w:t>
      </w:r>
      <w:bookmarkEnd w:id="66"/>
      <w:r>
        <w:rPr>
          <w:rFonts w:hint="eastAsia" w:ascii="Times New Roman" w:hAnsi="Times New Roman" w:eastAsia="仿宋_GB2312" w:cs="Times New Roman"/>
          <w:b/>
          <w:bCs/>
          <w:kern w:val="0"/>
          <w:sz w:val="32"/>
          <w:szCs w:val="32"/>
        </w:rPr>
        <w:t>改革赋能发展</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kern w:val="0"/>
          <w:sz w:val="32"/>
          <w:szCs w:val="32"/>
        </w:rPr>
        <w:t>统筹发展与安全，</w:t>
      </w:r>
      <w:r>
        <w:rPr>
          <w:rFonts w:ascii="Times New Roman" w:hAnsi="Times New Roman" w:eastAsia="仿宋_GB2312" w:cs="Times New Roman"/>
          <w:kern w:val="0"/>
          <w:sz w:val="32"/>
          <w:szCs w:val="32"/>
        </w:rPr>
        <w:t>促进医疗、医保、医药协同发展和治理，</w:t>
      </w:r>
      <w:r>
        <w:rPr>
          <w:rFonts w:hint="eastAsia" w:ascii="Times New Roman" w:hAnsi="Times New Roman" w:eastAsia="仿宋_GB2312" w:cs="Times New Roman"/>
          <w:kern w:val="0"/>
          <w:sz w:val="32"/>
          <w:szCs w:val="32"/>
        </w:rPr>
        <w:t>强化医防融合、中西医并重，协同推进区域一体化发展，深化重点领域改革突破，更加注重系统集成，持续提升卫生健康服务体系整体效能。</w:t>
      </w:r>
    </w:p>
    <w:p w14:paraId="4D06A10F">
      <w:pPr>
        <w:widowControl/>
        <w:pBdr>
          <w:bottom w:val="single" w:color="FFFFFF" w:sz="4" w:space="5"/>
        </w:pBdr>
        <w:tabs>
          <w:tab w:val="left" w:pos="1440"/>
        </w:tabs>
        <w:spacing w:line="560" w:lineRule="exact"/>
        <w:ind w:firstLine="643" w:firstLineChars="200"/>
        <w:contextualSpacing/>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4.坚持</w:t>
      </w:r>
      <w:r>
        <w:rPr>
          <w:rFonts w:hint="eastAsia" w:ascii="Times New Roman" w:hAnsi="Times New Roman" w:eastAsia="仿宋_GB2312" w:cs="Times New Roman"/>
          <w:b/>
          <w:bCs/>
          <w:kern w:val="0"/>
          <w:sz w:val="32"/>
          <w:szCs w:val="32"/>
        </w:rPr>
        <w:t>数智驱动，创新融合发展</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kern w:val="0"/>
          <w:sz w:val="32"/>
          <w:szCs w:val="32"/>
        </w:rPr>
        <w:t>加强医学科技创新资源要素集聚协同，大力提升科技创新和转化能力，</w:t>
      </w:r>
      <w:r>
        <w:rPr>
          <w:rFonts w:ascii="Times New Roman" w:hAnsi="Times New Roman" w:eastAsia="仿宋_GB2312" w:cs="Times New Roman"/>
          <w:kern w:val="0"/>
          <w:sz w:val="32"/>
          <w:szCs w:val="32"/>
        </w:rPr>
        <w:t>加快数智赋能卫生健康各领域各环节，</w:t>
      </w:r>
      <w:r>
        <w:rPr>
          <w:rFonts w:hint="eastAsia" w:ascii="Times New Roman" w:hAnsi="Times New Roman" w:eastAsia="仿宋_GB2312" w:cs="Times New Roman"/>
          <w:kern w:val="0"/>
          <w:sz w:val="32"/>
          <w:szCs w:val="32"/>
        </w:rPr>
        <w:t>深入推进“人工智能+卫生健康”，不断塑造卫生健康高质量发展的新动能新优势。</w:t>
      </w:r>
    </w:p>
    <w:p w14:paraId="034AED16">
      <w:pPr>
        <w:pStyle w:val="3"/>
        <w:spacing w:line="560" w:lineRule="exact"/>
      </w:pPr>
      <w:bookmarkStart w:id="67" w:name="_Toc27692"/>
      <w:r>
        <w:t>（三）发展目标</w:t>
      </w:r>
      <w:bookmarkEnd w:id="67"/>
    </w:p>
    <w:p w14:paraId="6B87364D">
      <w:pPr>
        <w:snapToGrid w:val="0"/>
        <w:spacing w:line="560" w:lineRule="exact"/>
        <w:ind w:firstLine="640" w:firstLineChars="200"/>
        <w:rPr>
          <w:rFonts w:ascii="Times New Roman" w:hAnsi="Times New Roman" w:eastAsia="仿宋_GB2312" w:cs="Times New Roman"/>
          <w:kern w:val="0"/>
          <w:sz w:val="32"/>
          <w:szCs w:val="32"/>
        </w:rPr>
      </w:pPr>
      <w:bookmarkStart w:id="68" w:name="_Hlk191389905"/>
      <w:r>
        <w:rPr>
          <w:rFonts w:ascii="Times New Roman" w:hAnsi="Times New Roman" w:eastAsia="仿宋_GB2312" w:cs="Times New Roman"/>
          <w:kern w:val="0"/>
          <w:sz w:val="32"/>
          <w:szCs w:val="32"/>
        </w:rPr>
        <w:t>建立</w:t>
      </w:r>
      <w:r>
        <w:rPr>
          <w:rFonts w:hint="eastAsia" w:ascii="仿宋_GB2312" w:hAnsi="Times New Roman" w:eastAsia="仿宋_GB2312" w:cs="Times New Roman"/>
          <w:kern w:val="0"/>
          <w:sz w:val="32"/>
          <w:szCs w:val="32"/>
        </w:rPr>
        <w:t>与</w:t>
      </w:r>
      <w:r>
        <w:rPr>
          <w:rFonts w:hint="eastAsia" w:ascii="Times New Roman" w:hAnsi="Times New Roman" w:eastAsia="仿宋_GB2312" w:cs="Times New Roman"/>
          <w:kern w:val="0"/>
          <w:sz w:val="32"/>
          <w:szCs w:val="32"/>
        </w:rPr>
        <w:t>长三角创新枢纽</w:t>
      </w:r>
      <w:r>
        <w:rPr>
          <w:rFonts w:ascii="Times New Roman" w:hAnsi="Times New Roman" w:eastAsia="仿宋_GB2312" w:cs="Times New Roman"/>
          <w:kern w:val="0"/>
          <w:sz w:val="32"/>
          <w:szCs w:val="32"/>
        </w:rPr>
        <w:t>相匹配、以人民健康为中心的</w:t>
      </w:r>
      <w:bookmarkStart w:id="69" w:name="OLE_LINK21"/>
      <w:r>
        <w:rPr>
          <w:rFonts w:hint="eastAsia" w:ascii="Times New Roman" w:hAnsi="Times New Roman" w:eastAsia="仿宋_GB2312" w:cs="Times New Roman"/>
          <w:kern w:val="0"/>
          <w:sz w:val="32"/>
          <w:szCs w:val="32"/>
        </w:rPr>
        <w:t>整合协同、</w:t>
      </w:r>
      <w:r>
        <w:rPr>
          <w:rFonts w:ascii="Times New Roman" w:hAnsi="Times New Roman" w:eastAsia="仿宋_GB2312" w:cs="Times New Roman"/>
          <w:kern w:val="0"/>
          <w:sz w:val="32"/>
          <w:szCs w:val="32"/>
        </w:rPr>
        <w:t>高效</w:t>
      </w:r>
      <w:r>
        <w:rPr>
          <w:rFonts w:hint="eastAsia" w:ascii="Times New Roman" w:hAnsi="Times New Roman" w:eastAsia="仿宋_GB2312" w:cs="Times New Roman"/>
          <w:kern w:val="0"/>
          <w:sz w:val="32"/>
          <w:szCs w:val="32"/>
        </w:rPr>
        <w:t>可及</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均衡普惠、</w:t>
      </w:r>
      <w:r>
        <w:rPr>
          <w:rFonts w:ascii="Times New Roman" w:hAnsi="Times New Roman" w:eastAsia="仿宋_GB2312" w:cs="Times New Roman"/>
          <w:kern w:val="0"/>
          <w:sz w:val="32"/>
          <w:szCs w:val="32"/>
        </w:rPr>
        <w:t>优质连续、</w:t>
      </w:r>
      <w:r>
        <w:rPr>
          <w:rFonts w:hint="eastAsia" w:ascii="Times New Roman" w:hAnsi="Times New Roman" w:eastAsia="仿宋_GB2312" w:cs="Times New Roman"/>
          <w:kern w:val="0"/>
          <w:sz w:val="32"/>
          <w:szCs w:val="32"/>
        </w:rPr>
        <w:t>智慧便捷、</w:t>
      </w:r>
      <w:r>
        <w:rPr>
          <w:rFonts w:ascii="Times New Roman" w:hAnsi="Times New Roman" w:eastAsia="仿宋_GB2312" w:cs="Times New Roman"/>
          <w:kern w:val="0"/>
          <w:sz w:val="32"/>
          <w:szCs w:val="32"/>
        </w:rPr>
        <w:t>韧性</w:t>
      </w:r>
      <w:r>
        <w:rPr>
          <w:rFonts w:hint="eastAsia" w:ascii="Times New Roman" w:hAnsi="Times New Roman" w:eastAsia="仿宋_GB2312" w:cs="Times New Roman"/>
          <w:kern w:val="0"/>
          <w:sz w:val="32"/>
          <w:szCs w:val="32"/>
        </w:rPr>
        <w:t>安全</w:t>
      </w:r>
      <w:r>
        <w:rPr>
          <w:rFonts w:ascii="Times New Roman" w:hAnsi="Times New Roman" w:eastAsia="仿宋_GB2312" w:cs="Times New Roman"/>
          <w:kern w:val="0"/>
          <w:sz w:val="32"/>
          <w:szCs w:val="32"/>
        </w:rPr>
        <w:t>的</w:t>
      </w:r>
      <w:r>
        <w:rPr>
          <w:rFonts w:hint="eastAsia" w:ascii="Times New Roman" w:hAnsi="Times New Roman" w:eastAsia="仿宋_GB2312" w:cs="Times New Roman"/>
          <w:kern w:val="0"/>
          <w:sz w:val="32"/>
          <w:szCs w:val="32"/>
        </w:rPr>
        <w:t>卫生健康</w:t>
      </w:r>
      <w:r>
        <w:rPr>
          <w:rFonts w:ascii="Times New Roman" w:hAnsi="Times New Roman" w:eastAsia="仿宋_GB2312" w:cs="Times New Roman"/>
          <w:kern w:val="0"/>
          <w:sz w:val="32"/>
          <w:szCs w:val="32"/>
        </w:rPr>
        <w:t>服务体系</w:t>
      </w:r>
      <w:bookmarkEnd w:id="69"/>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卫生</w:t>
      </w:r>
      <w:r>
        <w:rPr>
          <w:rFonts w:ascii="Times New Roman" w:hAnsi="Times New Roman" w:eastAsia="仿宋_GB2312" w:cs="Times New Roman"/>
          <w:kern w:val="0"/>
          <w:sz w:val="32"/>
          <w:szCs w:val="32"/>
        </w:rPr>
        <w:t>健康与经济社会协调发展，</w:t>
      </w:r>
      <w:r>
        <w:rPr>
          <w:rFonts w:hint="eastAsia" w:ascii="Times New Roman" w:hAnsi="Times New Roman" w:eastAsia="仿宋_GB2312" w:cs="Times New Roman"/>
          <w:kern w:val="0"/>
          <w:sz w:val="32"/>
          <w:szCs w:val="32"/>
        </w:rPr>
        <w:t>健康公平持续改善，</w:t>
      </w:r>
      <w:r>
        <w:rPr>
          <w:rFonts w:hint="eastAsia" w:ascii="仿宋_GB2312" w:hAnsi="Times New Roman" w:eastAsia="仿宋_GB2312" w:cs="Times New Roman"/>
          <w:kern w:val="0"/>
          <w:sz w:val="32"/>
          <w:szCs w:val="32"/>
        </w:rPr>
        <w:t>居民健康水平不断</w:t>
      </w:r>
      <w:r>
        <w:rPr>
          <w:rFonts w:ascii="Times New Roman" w:hAnsi="Times New Roman" w:eastAsia="仿宋_GB2312" w:cs="Times New Roman"/>
          <w:kern w:val="0"/>
          <w:sz w:val="32"/>
          <w:szCs w:val="32"/>
        </w:rPr>
        <w:t>提升，重大疫情和突发公共卫生事件的应对能力显著增强</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打造</w:t>
      </w:r>
      <w:r>
        <w:rPr>
          <w:rFonts w:hint="eastAsia" w:ascii="Times New Roman" w:hAnsi="Times New Roman" w:eastAsia="仿宋_GB2312" w:cs="Times New Roman"/>
          <w:kern w:val="0"/>
          <w:sz w:val="32"/>
          <w:szCs w:val="32"/>
        </w:rPr>
        <w:t>成为引领示范区辐射</w:t>
      </w:r>
      <w:r>
        <w:rPr>
          <w:rFonts w:ascii="Times New Roman" w:hAnsi="Times New Roman" w:eastAsia="仿宋_GB2312" w:cs="Times New Roman"/>
          <w:kern w:val="0"/>
          <w:sz w:val="32"/>
          <w:szCs w:val="32"/>
        </w:rPr>
        <w:t>长三角</w:t>
      </w:r>
      <w:r>
        <w:rPr>
          <w:rFonts w:hint="eastAsia" w:ascii="Times New Roman" w:hAnsi="Times New Roman" w:eastAsia="仿宋_GB2312" w:cs="Times New Roman"/>
          <w:kern w:val="0"/>
          <w:sz w:val="32"/>
          <w:szCs w:val="32"/>
        </w:rPr>
        <w:t>的</w:t>
      </w:r>
      <w:r>
        <w:rPr>
          <w:rFonts w:ascii="Times New Roman" w:hAnsi="Times New Roman" w:eastAsia="仿宋_GB2312" w:cs="Times New Roman"/>
          <w:kern w:val="0"/>
          <w:sz w:val="32"/>
          <w:szCs w:val="32"/>
        </w:rPr>
        <w:t>卫生健康</w:t>
      </w:r>
      <w:r>
        <w:rPr>
          <w:rFonts w:hint="eastAsia" w:ascii="Times New Roman" w:hAnsi="Times New Roman" w:eastAsia="仿宋_GB2312" w:cs="Times New Roman"/>
          <w:kern w:val="0"/>
          <w:sz w:val="32"/>
          <w:szCs w:val="32"/>
        </w:rPr>
        <w:t>典范城区</w:t>
      </w:r>
      <w:r>
        <w:rPr>
          <w:rFonts w:ascii="Times New Roman" w:hAnsi="Times New Roman" w:eastAsia="仿宋_GB2312" w:cs="Times New Roman"/>
          <w:kern w:val="0"/>
          <w:sz w:val="32"/>
          <w:szCs w:val="32"/>
        </w:rPr>
        <w:t>。</w:t>
      </w:r>
    </w:p>
    <w:p w14:paraId="73093A63">
      <w:pPr>
        <w:snapToGrid w:val="0"/>
        <w:spacing w:line="56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w:t>
      </w:r>
      <w:r>
        <w:rPr>
          <w:rFonts w:hint="eastAsia" w:ascii="Times New Roman" w:hAnsi="Times New Roman" w:eastAsia="仿宋_GB2312" w:cs="Times New Roman"/>
          <w:b/>
          <w:bCs/>
          <w:kern w:val="0"/>
          <w:sz w:val="32"/>
          <w:szCs w:val="32"/>
        </w:rPr>
        <w:t>健康优先发展战略全面深入实施</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kern w:val="0"/>
          <w:sz w:val="32"/>
          <w:szCs w:val="32"/>
        </w:rPr>
        <w:t>全面完成《“健康青浦2030”规划纲要》和《健康青浦行动（2020-2030年）》各项任务，</w:t>
      </w:r>
      <w:r>
        <w:rPr>
          <w:rFonts w:ascii="Times New Roman" w:hAnsi="Times New Roman" w:eastAsia="仿宋_GB2312" w:cs="Times New Roman"/>
          <w:kern w:val="0"/>
          <w:sz w:val="32"/>
          <w:szCs w:val="32"/>
        </w:rPr>
        <w:t>健康积分制</w:t>
      </w:r>
      <w:r>
        <w:rPr>
          <w:rFonts w:hint="eastAsia" w:ascii="Times New Roman" w:hAnsi="Times New Roman" w:eastAsia="仿宋_GB2312" w:cs="Times New Roman"/>
          <w:kern w:val="0"/>
          <w:sz w:val="32"/>
          <w:szCs w:val="32"/>
        </w:rPr>
        <w:t>持续扩面创新，</w:t>
      </w:r>
      <w:r>
        <w:rPr>
          <w:rFonts w:ascii="Times New Roman" w:hAnsi="Times New Roman" w:eastAsia="仿宋_GB2312" w:cs="Times New Roman"/>
          <w:kern w:val="0"/>
          <w:sz w:val="32"/>
          <w:szCs w:val="32"/>
        </w:rPr>
        <w:t>居民健康素养水平进一步提升</w:t>
      </w:r>
      <w:r>
        <w:rPr>
          <w:rFonts w:hint="eastAsia" w:ascii="Times New Roman" w:hAnsi="Times New Roman" w:eastAsia="仿宋_GB2312" w:cs="Times New Roman"/>
          <w:kern w:val="0"/>
          <w:sz w:val="32"/>
          <w:szCs w:val="32"/>
        </w:rPr>
        <w:t>，</w:t>
      </w:r>
      <w:bookmarkStart w:id="70" w:name="OLE_LINK31"/>
      <w:r>
        <w:rPr>
          <w:rFonts w:hint="eastAsia" w:ascii="Times New Roman" w:hAnsi="Times New Roman" w:eastAsia="仿宋_GB2312" w:cs="Times New Roman"/>
          <w:kern w:val="0"/>
          <w:sz w:val="32"/>
          <w:szCs w:val="32"/>
        </w:rPr>
        <w:t>人均健康预期寿命持续提高</w:t>
      </w:r>
      <w:bookmarkEnd w:id="70"/>
      <w:r>
        <w:rPr>
          <w:rFonts w:ascii="Times New Roman" w:hAnsi="Times New Roman" w:eastAsia="仿宋_GB2312" w:cs="Times New Roman"/>
          <w:kern w:val="0"/>
          <w:sz w:val="32"/>
          <w:szCs w:val="32"/>
        </w:rPr>
        <w:t>。</w:t>
      </w:r>
    </w:p>
    <w:p w14:paraId="67DD374F">
      <w:pPr>
        <w:widowControl/>
        <w:spacing w:line="56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——现代化医疗服务体系更加完善。</w:t>
      </w:r>
      <w:r>
        <w:rPr>
          <w:rFonts w:hint="eastAsia" w:ascii="Times New Roman" w:hAnsi="Times New Roman" w:eastAsia="仿宋_GB2312" w:cs="Times New Roman"/>
          <w:kern w:val="0"/>
          <w:sz w:val="32"/>
          <w:szCs w:val="32"/>
        </w:rPr>
        <w:t>全面实施医疗卫生强基工程，</w:t>
      </w:r>
      <w:r>
        <w:rPr>
          <w:rFonts w:ascii="Times New Roman" w:hAnsi="Times New Roman" w:eastAsia="仿宋_GB2312" w:cs="Times New Roman"/>
          <w:kern w:val="0"/>
          <w:sz w:val="32"/>
          <w:szCs w:val="32"/>
        </w:rPr>
        <w:t>区域医疗资源配置更加</w:t>
      </w:r>
      <w:r>
        <w:rPr>
          <w:rFonts w:hint="eastAsia" w:ascii="Times New Roman" w:hAnsi="Times New Roman" w:eastAsia="仿宋_GB2312" w:cs="Times New Roman"/>
          <w:kern w:val="0"/>
          <w:sz w:val="32"/>
          <w:szCs w:val="32"/>
        </w:rPr>
        <w:t>均衡</w:t>
      </w:r>
      <w:r>
        <w:rPr>
          <w:rFonts w:ascii="Times New Roman" w:hAnsi="Times New Roman" w:eastAsia="仿宋_GB2312" w:cs="Times New Roman"/>
          <w:kern w:val="0"/>
          <w:sz w:val="32"/>
          <w:szCs w:val="32"/>
        </w:rPr>
        <w:t>，整合型服务体系更加完善，中西医发展更加协调，</w:t>
      </w:r>
      <w:r>
        <w:rPr>
          <w:rFonts w:hint="eastAsia" w:ascii="Times New Roman" w:hAnsi="Times New Roman" w:eastAsia="仿宋_GB2312" w:cs="Times New Roman"/>
          <w:kern w:val="0"/>
          <w:sz w:val="32"/>
          <w:szCs w:val="32"/>
        </w:rPr>
        <w:t>社区卫生服务能力进一步提升，紧密型城市医疗集团建设取得重大进展</w:t>
      </w:r>
      <w:r>
        <w:rPr>
          <w:rFonts w:ascii="Times New Roman" w:hAnsi="Times New Roman" w:eastAsia="仿宋_GB2312" w:cs="Times New Roman"/>
          <w:kern w:val="0"/>
          <w:sz w:val="32"/>
          <w:szCs w:val="32"/>
        </w:rPr>
        <w:t>。</w:t>
      </w:r>
    </w:p>
    <w:p w14:paraId="4069F208">
      <w:pPr>
        <w:widowControl/>
        <w:spacing w:line="56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w:t>
      </w:r>
      <w:r>
        <w:rPr>
          <w:rFonts w:hint="eastAsia" w:ascii="Times New Roman" w:hAnsi="Times New Roman" w:eastAsia="仿宋_GB2312" w:cs="Times New Roman"/>
          <w:b/>
          <w:bCs/>
          <w:kern w:val="0"/>
          <w:sz w:val="32"/>
          <w:szCs w:val="32"/>
        </w:rPr>
        <w:t>公共卫生</w:t>
      </w:r>
      <w:r>
        <w:rPr>
          <w:rFonts w:ascii="Times New Roman" w:hAnsi="Times New Roman" w:eastAsia="仿宋_GB2312" w:cs="Times New Roman"/>
          <w:b/>
          <w:bCs/>
          <w:kern w:val="0"/>
          <w:sz w:val="32"/>
          <w:szCs w:val="32"/>
        </w:rPr>
        <w:t>安全韧性水平不断</w:t>
      </w:r>
      <w:r>
        <w:rPr>
          <w:rFonts w:hint="eastAsia" w:ascii="Times New Roman" w:hAnsi="Times New Roman" w:eastAsia="仿宋_GB2312" w:cs="Times New Roman"/>
          <w:b/>
          <w:bCs/>
          <w:kern w:val="0"/>
          <w:sz w:val="32"/>
          <w:szCs w:val="32"/>
        </w:rPr>
        <w:t>增强</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监测预警、风险评估、检验检测、应急处置、医疗救治等能力稳步提升，公共卫生应急管理体系和应急医疗救治体系持续完善</w:t>
      </w:r>
      <w:r>
        <w:rPr>
          <w:rFonts w:hint="eastAsia" w:ascii="Times New Roman" w:hAnsi="Times New Roman" w:eastAsia="仿宋_GB2312" w:cs="Times New Roman"/>
          <w:kern w:val="0"/>
          <w:sz w:val="32"/>
          <w:szCs w:val="32"/>
        </w:rPr>
        <w:t>，建设现代化紧急医学救援典范，打造公共卫生安全标杆城区</w:t>
      </w:r>
      <w:r>
        <w:rPr>
          <w:rFonts w:ascii="Times New Roman" w:hAnsi="Times New Roman" w:eastAsia="仿宋_GB2312" w:cs="Times New Roman"/>
          <w:kern w:val="0"/>
          <w:sz w:val="32"/>
          <w:szCs w:val="32"/>
        </w:rPr>
        <w:t>。</w:t>
      </w:r>
    </w:p>
    <w:p w14:paraId="5CFB3967">
      <w:pPr>
        <w:widowControl/>
        <w:spacing w:line="56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——卫生健康一体化</w:t>
      </w:r>
      <w:r>
        <w:rPr>
          <w:rFonts w:hint="eastAsia" w:ascii="Times New Roman" w:hAnsi="Times New Roman" w:eastAsia="仿宋_GB2312" w:cs="Times New Roman"/>
          <w:b/>
          <w:bCs/>
          <w:kern w:val="0"/>
          <w:sz w:val="32"/>
          <w:szCs w:val="32"/>
        </w:rPr>
        <w:t>发展协同推进</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kern w:val="0"/>
          <w:sz w:val="32"/>
          <w:szCs w:val="32"/>
        </w:rPr>
        <w:t>协同</w:t>
      </w:r>
      <w:r>
        <w:rPr>
          <w:rFonts w:ascii="Times New Roman" w:hAnsi="Times New Roman" w:eastAsia="仿宋_GB2312" w:cs="Times New Roman"/>
          <w:kern w:val="0"/>
          <w:sz w:val="32"/>
          <w:szCs w:val="32"/>
        </w:rPr>
        <w:t>推进</w:t>
      </w:r>
      <w:r>
        <w:rPr>
          <w:rFonts w:hint="eastAsia" w:ascii="Times New Roman" w:hAnsi="Times New Roman" w:eastAsia="仿宋_GB2312" w:cs="Times New Roman"/>
          <w:kern w:val="0"/>
          <w:sz w:val="32"/>
          <w:szCs w:val="32"/>
        </w:rPr>
        <w:t>示范区</w:t>
      </w:r>
      <w:r>
        <w:rPr>
          <w:rFonts w:ascii="Times New Roman" w:hAnsi="Times New Roman" w:eastAsia="仿宋_GB2312" w:cs="Times New Roman"/>
          <w:kern w:val="0"/>
          <w:sz w:val="32"/>
          <w:szCs w:val="32"/>
        </w:rPr>
        <w:t>卫生健康制度、标准、</w:t>
      </w:r>
      <w:r>
        <w:rPr>
          <w:rFonts w:hint="eastAsia" w:ascii="Times New Roman" w:hAnsi="Times New Roman" w:eastAsia="仿宋_GB2312" w:cs="Times New Roman"/>
          <w:kern w:val="0"/>
          <w:sz w:val="32"/>
          <w:szCs w:val="32"/>
        </w:rPr>
        <w:t>政策</w:t>
      </w:r>
      <w:r>
        <w:rPr>
          <w:rFonts w:ascii="Times New Roman" w:hAnsi="Times New Roman" w:eastAsia="仿宋_GB2312" w:cs="Times New Roman"/>
          <w:kern w:val="0"/>
          <w:sz w:val="32"/>
          <w:szCs w:val="32"/>
        </w:rPr>
        <w:t>一体化，深入推进示范区卫生健康服务便民一体化，</w:t>
      </w:r>
      <w:r>
        <w:rPr>
          <w:rFonts w:hint="eastAsia" w:ascii="Times New Roman" w:hAnsi="Times New Roman" w:eastAsia="仿宋_GB2312" w:cs="Times New Roman"/>
          <w:kern w:val="0"/>
          <w:sz w:val="32"/>
          <w:szCs w:val="32"/>
        </w:rPr>
        <w:t>支持示范区医学科技创新和医药产业联动发展，</w:t>
      </w:r>
      <w:r>
        <w:rPr>
          <w:rFonts w:ascii="Times New Roman" w:hAnsi="Times New Roman" w:eastAsia="仿宋_GB2312" w:cs="Times New Roman"/>
          <w:kern w:val="0"/>
          <w:sz w:val="32"/>
          <w:szCs w:val="32"/>
        </w:rPr>
        <w:t>联合打造卫生健康一体化发展样板区。</w:t>
      </w:r>
    </w:p>
    <w:p w14:paraId="74732640">
      <w:pPr>
        <w:widowControl/>
        <w:spacing w:line="560" w:lineRule="exact"/>
        <w:ind w:firstLine="643"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w:t>
      </w:r>
      <w:bookmarkStart w:id="71" w:name="OLE_LINK30"/>
      <w:r>
        <w:rPr>
          <w:rFonts w:ascii="Times New Roman" w:hAnsi="Times New Roman" w:eastAsia="仿宋_GB2312" w:cs="Times New Roman"/>
          <w:b/>
          <w:bCs/>
          <w:kern w:val="0"/>
          <w:sz w:val="32"/>
          <w:szCs w:val="32"/>
        </w:rPr>
        <w:t>卫生健康新质生产力</w:t>
      </w:r>
      <w:r>
        <w:rPr>
          <w:rFonts w:hint="eastAsia" w:ascii="Times New Roman" w:hAnsi="Times New Roman" w:eastAsia="仿宋_GB2312" w:cs="Times New Roman"/>
          <w:b/>
          <w:bCs/>
          <w:kern w:val="0"/>
          <w:sz w:val="32"/>
          <w:szCs w:val="32"/>
        </w:rPr>
        <w:t>加速</w:t>
      </w:r>
      <w:r>
        <w:rPr>
          <w:rFonts w:ascii="Times New Roman" w:hAnsi="Times New Roman" w:eastAsia="仿宋_GB2312" w:cs="Times New Roman"/>
          <w:b/>
          <w:bCs/>
          <w:kern w:val="0"/>
          <w:sz w:val="32"/>
          <w:szCs w:val="32"/>
        </w:rPr>
        <w:t>突破</w:t>
      </w:r>
      <w:bookmarkEnd w:id="71"/>
      <w:r>
        <w:rPr>
          <w:rFonts w:ascii="Times New Roman" w:hAnsi="Times New Roman" w:eastAsia="仿宋_GB2312" w:cs="Times New Roman"/>
          <w:b/>
          <w:bCs/>
          <w:kern w:val="0"/>
          <w:sz w:val="32"/>
          <w:szCs w:val="32"/>
        </w:rPr>
        <w:t>。</w:t>
      </w:r>
      <w:r>
        <w:rPr>
          <w:rFonts w:hint="eastAsia" w:ascii="Times New Roman" w:hAnsi="Times New Roman" w:eastAsia="仿宋_GB2312" w:cs="Times New Roman"/>
          <w:kern w:val="0"/>
          <w:sz w:val="32"/>
          <w:szCs w:val="32"/>
        </w:rPr>
        <w:t>推动</w:t>
      </w:r>
      <w:r>
        <w:rPr>
          <w:rFonts w:ascii="Times New Roman" w:hAnsi="Times New Roman" w:eastAsia="仿宋_GB2312" w:cs="Times New Roman"/>
          <w:kern w:val="0"/>
          <w:sz w:val="32"/>
          <w:szCs w:val="32"/>
        </w:rPr>
        <w:t>区内</w:t>
      </w:r>
      <w:r>
        <w:rPr>
          <w:rFonts w:hint="eastAsia" w:ascii="Times New Roman" w:hAnsi="Times New Roman" w:eastAsia="仿宋_GB2312" w:cs="Times New Roman"/>
          <w:kern w:val="0"/>
          <w:sz w:val="32"/>
          <w:szCs w:val="32"/>
        </w:rPr>
        <w:t>市级医院带动区属医疗卫生</w:t>
      </w:r>
      <w:r>
        <w:rPr>
          <w:rFonts w:ascii="Times New Roman" w:hAnsi="Times New Roman" w:eastAsia="仿宋_GB2312" w:cs="Times New Roman"/>
          <w:kern w:val="0"/>
          <w:sz w:val="32"/>
          <w:szCs w:val="32"/>
        </w:rPr>
        <w:t>机构</w:t>
      </w:r>
      <w:r>
        <w:rPr>
          <w:rFonts w:hint="eastAsia" w:ascii="Times New Roman" w:hAnsi="Times New Roman" w:eastAsia="仿宋_GB2312" w:cs="Times New Roman"/>
          <w:kern w:val="0"/>
          <w:sz w:val="32"/>
          <w:szCs w:val="32"/>
        </w:rPr>
        <w:t>大力提升</w:t>
      </w:r>
      <w:r>
        <w:rPr>
          <w:rFonts w:ascii="Times New Roman" w:hAnsi="Times New Roman" w:eastAsia="仿宋_GB2312" w:cs="Times New Roman"/>
          <w:kern w:val="0"/>
          <w:sz w:val="32"/>
          <w:szCs w:val="32"/>
        </w:rPr>
        <w:t>研究</w:t>
      </w:r>
      <w:r>
        <w:rPr>
          <w:rFonts w:hint="eastAsia" w:ascii="Times New Roman" w:hAnsi="Times New Roman" w:eastAsia="仿宋_GB2312" w:cs="Times New Roman"/>
          <w:kern w:val="0"/>
          <w:sz w:val="32"/>
          <w:szCs w:val="32"/>
        </w:rPr>
        <w:t>能力</w:t>
      </w:r>
      <w:r>
        <w:rPr>
          <w:rFonts w:ascii="Times New Roman" w:hAnsi="Times New Roman" w:eastAsia="仿宋_GB2312" w:cs="Times New Roman"/>
          <w:kern w:val="0"/>
          <w:sz w:val="32"/>
          <w:szCs w:val="32"/>
        </w:rPr>
        <w:t>，产学研医</w:t>
      </w:r>
      <w:r>
        <w:rPr>
          <w:rFonts w:hint="eastAsia" w:ascii="Times New Roman" w:hAnsi="Times New Roman" w:eastAsia="仿宋_GB2312" w:cs="Times New Roman"/>
          <w:kern w:val="0"/>
          <w:sz w:val="32"/>
          <w:szCs w:val="32"/>
        </w:rPr>
        <w:t>深度</w:t>
      </w:r>
      <w:r>
        <w:rPr>
          <w:rFonts w:ascii="Times New Roman" w:hAnsi="Times New Roman" w:eastAsia="仿宋_GB2312" w:cs="Times New Roman"/>
          <w:kern w:val="0"/>
          <w:sz w:val="32"/>
          <w:szCs w:val="32"/>
        </w:rPr>
        <w:t>融合发展。</w:t>
      </w:r>
      <w:r>
        <w:rPr>
          <w:rFonts w:hint="eastAsia" w:ascii="Times New Roman" w:hAnsi="Times New Roman" w:eastAsia="仿宋_GB2312" w:cs="Times New Roman"/>
          <w:kern w:val="0"/>
          <w:sz w:val="32"/>
          <w:szCs w:val="32"/>
        </w:rPr>
        <w:t>打造自给自足、可持续发展的数字健康城区发展模式，打造数字健康城区典范</w:t>
      </w:r>
      <w:r>
        <w:rPr>
          <w:rFonts w:ascii="Times New Roman" w:hAnsi="Times New Roman" w:eastAsia="仿宋_GB2312" w:cs="Times New Roman"/>
          <w:kern w:val="0"/>
          <w:sz w:val="32"/>
          <w:szCs w:val="32"/>
        </w:rPr>
        <w:t>。</w:t>
      </w:r>
    </w:p>
    <w:bookmarkEnd w:id="68"/>
    <w:p w14:paraId="1779E507">
      <w:pPr>
        <w:widowControl/>
        <w:spacing w:line="630" w:lineRule="exact"/>
        <w:contextualSpacing/>
        <w:jc w:val="center"/>
        <w:rPr>
          <w:rFonts w:ascii="Times New Roman" w:hAnsi="Times New Roman" w:eastAsia="楷体_GB2312" w:cs="Times New Roman"/>
          <w:b/>
          <w:bCs/>
          <w:sz w:val="28"/>
          <w:szCs w:val="28"/>
        </w:rPr>
      </w:pPr>
      <w:r>
        <w:rPr>
          <w:rFonts w:hint="eastAsia" w:ascii="Times New Roman" w:hAnsi="Times New Roman" w:eastAsia="楷体_GB2312" w:cs="Times New Roman"/>
          <w:b/>
          <w:bCs/>
          <w:sz w:val="28"/>
          <w:szCs w:val="28"/>
        </w:rPr>
        <w:t xml:space="preserve">表1 </w:t>
      </w:r>
      <w:r>
        <w:rPr>
          <w:rFonts w:ascii="Times New Roman" w:hAnsi="Times New Roman" w:eastAsia="楷体_GB2312" w:cs="Times New Roman"/>
          <w:b/>
          <w:bCs/>
          <w:sz w:val="28"/>
          <w:szCs w:val="28"/>
        </w:rPr>
        <w:t>青浦</w:t>
      </w:r>
      <w:r>
        <w:rPr>
          <w:rFonts w:hint="eastAsia" w:ascii="楷体_GB2312" w:hAnsi="Times New Roman" w:eastAsia="楷体_GB2312" w:cs="Times New Roman"/>
          <w:b/>
          <w:bCs/>
          <w:sz w:val="28"/>
          <w:szCs w:val="28"/>
        </w:rPr>
        <w:t>区“十五五”卫生</w:t>
      </w:r>
      <w:r>
        <w:rPr>
          <w:rFonts w:ascii="Times New Roman" w:hAnsi="Times New Roman" w:eastAsia="楷体_GB2312" w:cs="Times New Roman"/>
          <w:b/>
          <w:bCs/>
          <w:sz w:val="28"/>
          <w:szCs w:val="28"/>
        </w:rPr>
        <w:t>健康发展</w:t>
      </w:r>
      <w:r>
        <w:rPr>
          <w:rFonts w:hint="eastAsia" w:ascii="Times New Roman" w:hAnsi="Times New Roman" w:eastAsia="楷体_GB2312" w:cs="Times New Roman"/>
          <w:b/>
          <w:bCs/>
          <w:sz w:val="28"/>
          <w:szCs w:val="28"/>
        </w:rPr>
        <w:t>规划</w:t>
      </w:r>
      <w:r>
        <w:rPr>
          <w:rFonts w:ascii="Times New Roman" w:hAnsi="Times New Roman" w:eastAsia="楷体_GB2312" w:cs="Times New Roman"/>
          <w:b/>
          <w:bCs/>
          <w:sz w:val="28"/>
          <w:szCs w:val="28"/>
        </w:rPr>
        <w:t>指标</w:t>
      </w:r>
    </w:p>
    <w:tbl>
      <w:tblPr>
        <w:tblStyle w:val="20"/>
        <w:tblW w:w="5000" w:type="pct"/>
        <w:tblInd w:w="0" w:type="dxa"/>
        <w:tblLayout w:type="fixed"/>
        <w:tblCellMar>
          <w:top w:w="0" w:type="dxa"/>
          <w:left w:w="108" w:type="dxa"/>
          <w:bottom w:w="0" w:type="dxa"/>
          <w:right w:w="108" w:type="dxa"/>
        </w:tblCellMar>
      </w:tblPr>
      <w:tblGrid>
        <w:gridCol w:w="723"/>
        <w:gridCol w:w="4784"/>
        <w:gridCol w:w="1042"/>
        <w:gridCol w:w="1973"/>
      </w:tblGrid>
      <w:tr w14:paraId="18141D7D">
        <w:tblPrEx>
          <w:tblCellMar>
            <w:top w:w="0" w:type="dxa"/>
            <w:left w:w="108" w:type="dxa"/>
            <w:bottom w:w="0" w:type="dxa"/>
            <w:right w:w="108" w:type="dxa"/>
          </w:tblCellMar>
        </w:tblPrEx>
        <w:trPr>
          <w:trHeight w:val="255" w:hRule="atLeast"/>
          <w:tblHeader/>
        </w:trPr>
        <w:tc>
          <w:tcPr>
            <w:tcW w:w="424" w:type="pct"/>
            <w:tcBorders>
              <w:top w:val="single" w:color="auto" w:sz="4" w:space="0"/>
              <w:left w:val="single" w:color="auto" w:sz="4" w:space="0"/>
              <w:bottom w:val="single" w:color="auto" w:sz="4" w:space="0"/>
              <w:right w:val="single" w:color="auto" w:sz="4" w:space="0"/>
            </w:tcBorders>
            <w:vAlign w:val="center"/>
          </w:tcPr>
          <w:p w14:paraId="7471D9CC">
            <w:pPr>
              <w:widowControl/>
              <w:adjustRightInd w:val="0"/>
              <w:snapToGrid w:val="0"/>
              <w:jc w:val="center"/>
              <w:rPr>
                <w:rFonts w:ascii="Times New Roman" w:hAnsi="Times New Roman" w:eastAsia="黑体" w:cs="Times New Roman"/>
                <w:b/>
                <w:bCs/>
                <w:kern w:val="0"/>
                <w:sz w:val="24"/>
                <w:szCs w:val="24"/>
              </w:rPr>
            </w:pPr>
            <w:r>
              <w:rPr>
                <w:rFonts w:ascii="Times New Roman" w:hAnsi="Times New Roman" w:eastAsia="黑体" w:cs="Times New Roman"/>
                <w:b/>
                <w:bCs/>
                <w:kern w:val="0"/>
                <w:sz w:val="24"/>
                <w:szCs w:val="24"/>
              </w:rPr>
              <w:t>序号</w:t>
            </w:r>
          </w:p>
        </w:tc>
        <w:tc>
          <w:tcPr>
            <w:tcW w:w="2807" w:type="pct"/>
            <w:tcBorders>
              <w:top w:val="single" w:color="auto" w:sz="4" w:space="0"/>
              <w:left w:val="nil"/>
              <w:bottom w:val="single" w:color="auto" w:sz="4" w:space="0"/>
              <w:right w:val="single" w:color="auto" w:sz="4" w:space="0"/>
            </w:tcBorders>
            <w:vAlign w:val="center"/>
          </w:tcPr>
          <w:p w14:paraId="342B8390">
            <w:pPr>
              <w:widowControl/>
              <w:adjustRightInd w:val="0"/>
              <w:snapToGrid w:val="0"/>
              <w:jc w:val="center"/>
              <w:rPr>
                <w:rFonts w:ascii="Times New Roman" w:hAnsi="Times New Roman" w:eastAsia="黑体" w:cs="Times New Roman"/>
                <w:b/>
                <w:bCs/>
                <w:kern w:val="0"/>
                <w:sz w:val="24"/>
                <w:szCs w:val="24"/>
              </w:rPr>
            </w:pPr>
            <w:r>
              <w:rPr>
                <w:rFonts w:ascii="Times New Roman" w:hAnsi="Times New Roman" w:eastAsia="黑体" w:cs="Times New Roman"/>
                <w:b/>
                <w:bCs/>
                <w:kern w:val="0"/>
                <w:sz w:val="24"/>
                <w:szCs w:val="24"/>
              </w:rPr>
              <w:t>指标名称</w:t>
            </w:r>
          </w:p>
        </w:tc>
        <w:tc>
          <w:tcPr>
            <w:tcW w:w="611" w:type="pct"/>
            <w:tcBorders>
              <w:top w:val="single" w:color="auto" w:sz="4" w:space="0"/>
              <w:left w:val="nil"/>
              <w:bottom w:val="single" w:color="auto" w:sz="4" w:space="0"/>
              <w:right w:val="single" w:color="auto" w:sz="4" w:space="0"/>
            </w:tcBorders>
            <w:vAlign w:val="center"/>
          </w:tcPr>
          <w:p w14:paraId="4C436917">
            <w:pPr>
              <w:widowControl/>
              <w:adjustRightInd w:val="0"/>
              <w:snapToGrid w:val="0"/>
              <w:jc w:val="center"/>
              <w:rPr>
                <w:rFonts w:ascii="Times New Roman" w:hAnsi="Times New Roman" w:eastAsia="黑体" w:cs="Times New Roman"/>
                <w:b/>
                <w:bCs/>
                <w:kern w:val="0"/>
                <w:sz w:val="24"/>
                <w:szCs w:val="24"/>
              </w:rPr>
            </w:pPr>
            <w:r>
              <w:rPr>
                <w:rFonts w:ascii="Times New Roman" w:hAnsi="Times New Roman" w:eastAsia="黑体" w:cs="Times New Roman"/>
                <w:b/>
                <w:bCs/>
                <w:kern w:val="0"/>
                <w:sz w:val="24"/>
                <w:szCs w:val="24"/>
              </w:rPr>
              <w:t>属性</w:t>
            </w:r>
          </w:p>
        </w:tc>
        <w:tc>
          <w:tcPr>
            <w:tcW w:w="1158" w:type="pct"/>
            <w:tcBorders>
              <w:top w:val="single" w:color="auto" w:sz="4" w:space="0"/>
              <w:left w:val="nil"/>
              <w:bottom w:val="single" w:color="auto" w:sz="4" w:space="0"/>
              <w:right w:val="single" w:color="auto" w:sz="4" w:space="0"/>
            </w:tcBorders>
            <w:vAlign w:val="center"/>
          </w:tcPr>
          <w:p w14:paraId="183A8180">
            <w:pPr>
              <w:widowControl/>
              <w:adjustRightInd w:val="0"/>
              <w:snapToGrid w:val="0"/>
              <w:jc w:val="center"/>
              <w:rPr>
                <w:rFonts w:ascii="Times New Roman" w:hAnsi="Times New Roman" w:eastAsia="黑体" w:cs="Times New Roman"/>
                <w:b/>
                <w:bCs/>
                <w:kern w:val="0"/>
                <w:sz w:val="24"/>
                <w:szCs w:val="24"/>
              </w:rPr>
            </w:pPr>
            <w:r>
              <w:rPr>
                <w:rFonts w:ascii="Times New Roman" w:hAnsi="Times New Roman" w:eastAsia="黑体" w:cs="Times New Roman"/>
                <w:b/>
                <w:bCs/>
                <w:kern w:val="0"/>
                <w:sz w:val="24"/>
                <w:szCs w:val="24"/>
              </w:rPr>
              <w:t>2030年目标值</w:t>
            </w:r>
          </w:p>
        </w:tc>
      </w:tr>
      <w:tr w14:paraId="42286596">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562E2569">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w:t>
            </w:r>
          </w:p>
        </w:tc>
        <w:tc>
          <w:tcPr>
            <w:tcW w:w="2807" w:type="pct"/>
            <w:tcBorders>
              <w:top w:val="nil"/>
              <w:left w:val="nil"/>
              <w:bottom w:val="single" w:color="auto" w:sz="4" w:space="0"/>
              <w:right w:val="single" w:color="auto" w:sz="4" w:space="0"/>
            </w:tcBorders>
            <w:vAlign w:val="center"/>
          </w:tcPr>
          <w:p w14:paraId="0D576450">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婴儿死亡率（‰）</w:t>
            </w:r>
          </w:p>
        </w:tc>
        <w:tc>
          <w:tcPr>
            <w:tcW w:w="611" w:type="pct"/>
            <w:tcBorders>
              <w:top w:val="nil"/>
              <w:left w:val="nil"/>
              <w:bottom w:val="single" w:color="auto" w:sz="4" w:space="0"/>
              <w:right w:val="single" w:color="auto" w:sz="4" w:space="0"/>
            </w:tcBorders>
            <w:vAlign w:val="center"/>
          </w:tcPr>
          <w:p w14:paraId="0A4AE45B">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254EE231">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w:t>
            </w:r>
          </w:p>
        </w:tc>
      </w:tr>
      <w:tr w14:paraId="01B94148">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78E4DEB8">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p>
        </w:tc>
        <w:tc>
          <w:tcPr>
            <w:tcW w:w="2807" w:type="pct"/>
            <w:tcBorders>
              <w:top w:val="nil"/>
              <w:left w:val="nil"/>
              <w:bottom w:val="single" w:color="auto" w:sz="4" w:space="0"/>
              <w:right w:val="single" w:color="auto" w:sz="4" w:space="0"/>
            </w:tcBorders>
            <w:vAlign w:val="center"/>
          </w:tcPr>
          <w:p w14:paraId="73B8B689">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孕产妇死亡率（1/10万）</w:t>
            </w:r>
          </w:p>
        </w:tc>
        <w:tc>
          <w:tcPr>
            <w:tcW w:w="611" w:type="pct"/>
            <w:tcBorders>
              <w:top w:val="nil"/>
              <w:left w:val="nil"/>
              <w:bottom w:val="single" w:color="auto" w:sz="4" w:space="0"/>
              <w:right w:val="single" w:color="auto" w:sz="4" w:space="0"/>
            </w:tcBorders>
            <w:vAlign w:val="center"/>
          </w:tcPr>
          <w:p w14:paraId="6CC44EBB">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7E0DC001">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保持发达国家水平</w:t>
            </w:r>
          </w:p>
        </w:tc>
      </w:tr>
      <w:tr w14:paraId="47155EB2">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59BF341D">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2807" w:type="pct"/>
            <w:tcBorders>
              <w:top w:val="nil"/>
              <w:left w:val="nil"/>
              <w:bottom w:val="single" w:color="auto" w:sz="4" w:space="0"/>
              <w:right w:val="single" w:color="auto" w:sz="4" w:space="0"/>
            </w:tcBorders>
            <w:vAlign w:val="center"/>
          </w:tcPr>
          <w:p w14:paraId="7A6B66E1">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居民健康素养水平（％）</w:t>
            </w:r>
          </w:p>
        </w:tc>
        <w:tc>
          <w:tcPr>
            <w:tcW w:w="611" w:type="pct"/>
            <w:tcBorders>
              <w:top w:val="nil"/>
              <w:left w:val="nil"/>
              <w:bottom w:val="single" w:color="auto" w:sz="4" w:space="0"/>
              <w:right w:val="single" w:color="auto" w:sz="4" w:space="0"/>
            </w:tcBorders>
            <w:vAlign w:val="center"/>
          </w:tcPr>
          <w:p w14:paraId="0872D3A3">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75101668">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8</w:t>
            </w:r>
          </w:p>
        </w:tc>
      </w:tr>
      <w:tr w14:paraId="54F10E51">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09061EA3">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w:t>
            </w:r>
            <w:r>
              <w:rPr>
                <w:rFonts w:ascii="Times New Roman" w:hAnsi="Times New Roman" w:eastAsia="仿宋_GB2312" w:cs="Times New Roman"/>
                <w:kern w:val="0"/>
                <w:sz w:val="24"/>
                <w:szCs w:val="24"/>
              </w:rPr>
              <w:t>5</w:t>
            </w:r>
          </w:p>
        </w:tc>
        <w:tc>
          <w:tcPr>
            <w:tcW w:w="2807" w:type="pct"/>
            <w:tcBorders>
              <w:top w:val="nil"/>
              <w:left w:val="nil"/>
              <w:bottom w:val="single" w:color="auto" w:sz="4" w:space="0"/>
              <w:right w:val="single" w:color="auto" w:sz="4" w:space="0"/>
            </w:tcBorders>
            <w:vAlign w:val="center"/>
          </w:tcPr>
          <w:p w14:paraId="099286E7">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常见恶性肿瘤诊断时早期比例（％）</w:t>
            </w:r>
          </w:p>
        </w:tc>
        <w:tc>
          <w:tcPr>
            <w:tcW w:w="611" w:type="pct"/>
            <w:tcBorders>
              <w:top w:val="nil"/>
              <w:left w:val="nil"/>
              <w:bottom w:val="single" w:color="auto" w:sz="4" w:space="0"/>
              <w:right w:val="single" w:color="auto" w:sz="4" w:space="0"/>
            </w:tcBorders>
            <w:vAlign w:val="center"/>
          </w:tcPr>
          <w:p w14:paraId="50D0614F">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336AE7DB">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42</w:t>
            </w:r>
          </w:p>
        </w:tc>
      </w:tr>
      <w:tr w14:paraId="2E1DF1CF">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0EA13D10">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w:t>
            </w:r>
          </w:p>
        </w:tc>
        <w:tc>
          <w:tcPr>
            <w:tcW w:w="2807" w:type="pct"/>
            <w:tcBorders>
              <w:top w:val="nil"/>
              <w:left w:val="nil"/>
              <w:bottom w:val="single" w:color="auto" w:sz="4" w:space="0"/>
              <w:right w:val="single" w:color="auto" w:sz="4" w:space="0"/>
            </w:tcBorders>
            <w:vAlign w:val="center"/>
          </w:tcPr>
          <w:p w14:paraId="6E3DED1F">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重大慢性病过早死亡率（％）</w:t>
            </w:r>
          </w:p>
        </w:tc>
        <w:tc>
          <w:tcPr>
            <w:tcW w:w="611" w:type="pct"/>
            <w:tcBorders>
              <w:top w:val="nil"/>
              <w:left w:val="nil"/>
              <w:bottom w:val="single" w:color="auto" w:sz="4" w:space="0"/>
              <w:right w:val="single" w:color="auto" w:sz="4" w:space="0"/>
            </w:tcBorders>
            <w:vAlign w:val="center"/>
          </w:tcPr>
          <w:p w14:paraId="43AB1163">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3E8CC770">
            <w:pPr>
              <w:widowControl/>
              <w:adjustRightInd w:val="0"/>
              <w:snapToGrid w:val="0"/>
              <w:jc w:val="center"/>
              <w:rPr>
                <w:rFonts w:ascii="Times New Roman" w:hAnsi="Times New Roman" w:eastAsia="仿宋_GB2312" w:cs="Times New Roman"/>
                <w:kern w:val="0"/>
                <w:sz w:val="24"/>
                <w:szCs w:val="24"/>
              </w:rPr>
            </w:pPr>
            <w:bookmarkStart w:id="72" w:name="OLE_LINK43"/>
            <w:r>
              <w:rPr>
                <w:rFonts w:hint="eastAsia" w:ascii="Times New Roman" w:hAnsi="Times New Roman" w:eastAsia="仿宋_GB2312" w:cs="Times New Roman"/>
                <w:kern w:val="0"/>
                <w:sz w:val="24"/>
                <w:szCs w:val="24"/>
              </w:rPr>
              <w:t>≤</w:t>
            </w:r>
            <w:bookmarkEnd w:id="72"/>
            <w:r>
              <w:rPr>
                <w:rFonts w:ascii="Times New Roman" w:hAnsi="Times New Roman" w:eastAsia="仿宋_GB2312" w:cs="Times New Roman"/>
                <w:kern w:val="0"/>
                <w:sz w:val="24"/>
                <w:szCs w:val="24"/>
              </w:rPr>
              <w:t>9</w:t>
            </w:r>
          </w:p>
        </w:tc>
      </w:tr>
      <w:tr w14:paraId="4898F251">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69A5BAF4">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w:t>
            </w:r>
          </w:p>
        </w:tc>
        <w:tc>
          <w:tcPr>
            <w:tcW w:w="2807" w:type="pct"/>
            <w:tcBorders>
              <w:top w:val="nil"/>
              <w:left w:val="nil"/>
              <w:bottom w:val="single" w:color="auto" w:sz="4" w:space="0"/>
              <w:right w:val="single" w:color="auto" w:sz="4" w:space="0"/>
            </w:tcBorders>
            <w:vAlign w:val="center"/>
          </w:tcPr>
          <w:p w14:paraId="6BA0622B">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千人口执业（助理）医师数（人）</w:t>
            </w:r>
          </w:p>
        </w:tc>
        <w:tc>
          <w:tcPr>
            <w:tcW w:w="611" w:type="pct"/>
            <w:tcBorders>
              <w:top w:val="nil"/>
              <w:left w:val="nil"/>
              <w:bottom w:val="single" w:color="auto" w:sz="4" w:space="0"/>
              <w:right w:val="single" w:color="auto" w:sz="4" w:space="0"/>
            </w:tcBorders>
            <w:vAlign w:val="center"/>
          </w:tcPr>
          <w:p w14:paraId="54C7929A">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vAlign w:val="center"/>
          </w:tcPr>
          <w:p w14:paraId="7F1FA33B">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w:t>
            </w:r>
          </w:p>
        </w:tc>
      </w:tr>
      <w:tr w14:paraId="6FFB7E8A">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3168F02E">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w:t>
            </w:r>
          </w:p>
        </w:tc>
        <w:tc>
          <w:tcPr>
            <w:tcW w:w="2807" w:type="pct"/>
            <w:tcBorders>
              <w:top w:val="nil"/>
              <w:left w:val="nil"/>
              <w:bottom w:val="single" w:color="auto" w:sz="4" w:space="0"/>
              <w:right w:val="single" w:color="auto" w:sz="4" w:space="0"/>
            </w:tcBorders>
            <w:vAlign w:val="center"/>
          </w:tcPr>
          <w:p w14:paraId="0209C410">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千人口注册护士数（人）</w:t>
            </w:r>
          </w:p>
        </w:tc>
        <w:tc>
          <w:tcPr>
            <w:tcW w:w="611" w:type="pct"/>
            <w:tcBorders>
              <w:top w:val="nil"/>
              <w:left w:val="nil"/>
              <w:bottom w:val="single" w:color="auto" w:sz="4" w:space="0"/>
              <w:right w:val="single" w:color="auto" w:sz="4" w:space="0"/>
            </w:tcBorders>
            <w:vAlign w:val="center"/>
          </w:tcPr>
          <w:p w14:paraId="05375B72">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vAlign w:val="center"/>
          </w:tcPr>
          <w:p w14:paraId="401DC050">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≥5.4</w:t>
            </w:r>
          </w:p>
        </w:tc>
      </w:tr>
      <w:tr w14:paraId="15723752">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2BD86E4A">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w:t>
            </w:r>
          </w:p>
        </w:tc>
        <w:tc>
          <w:tcPr>
            <w:tcW w:w="2807" w:type="pct"/>
            <w:tcBorders>
              <w:top w:val="nil"/>
              <w:left w:val="nil"/>
              <w:bottom w:val="single" w:color="auto" w:sz="4" w:space="0"/>
              <w:right w:val="single" w:color="auto" w:sz="4" w:space="0"/>
            </w:tcBorders>
            <w:noWrap/>
            <w:vAlign w:val="center"/>
          </w:tcPr>
          <w:p w14:paraId="41AB2274">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精神科执业（助理）医师数（人</w:t>
            </w:r>
            <w:r>
              <w:rPr>
                <w:rFonts w:hint="eastAsia" w:ascii="Times New Roman" w:hAnsi="Times New Roman" w:eastAsia="仿宋_GB2312" w:cs="Times New Roman"/>
                <w:kern w:val="0"/>
                <w:sz w:val="24"/>
                <w:szCs w:val="24"/>
              </w:rPr>
              <w:t>/10万人口</w:t>
            </w:r>
            <w:r>
              <w:rPr>
                <w:rFonts w:ascii="Times New Roman" w:hAnsi="Times New Roman" w:eastAsia="仿宋_GB2312" w:cs="Times New Roman"/>
                <w:kern w:val="0"/>
                <w:sz w:val="24"/>
                <w:szCs w:val="24"/>
              </w:rPr>
              <w:t>）</w:t>
            </w:r>
          </w:p>
        </w:tc>
        <w:tc>
          <w:tcPr>
            <w:tcW w:w="611" w:type="pct"/>
            <w:tcBorders>
              <w:top w:val="nil"/>
              <w:left w:val="nil"/>
              <w:bottom w:val="single" w:color="auto" w:sz="4" w:space="0"/>
              <w:right w:val="single" w:color="auto" w:sz="4" w:space="0"/>
            </w:tcBorders>
            <w:vAlign w:val="center"/>
          </w:tcPr>
          <w:p w14:paraId="6DDC2FC3">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vAlign w:val="center"/>
          </w:tcPr>
          <w:p w14:paraId="1160D998">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≥5.6</w:t>
            </w:r>
          </w:p>
        </w:tc>
      </w:tr>
      <w:tr w14:paraId="159CCC4A">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694D426F">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w:t>
            </w:r>
          </w:p>
        </w:tc>
        <w:tc>
          <w:tcPr>
            <w:tcW w:w="2807" w:type="pct"/>
            <w:tcBorders>
              <w:top w:val="nil"/>
              <w:left w:val="nil"/>
              <w:bottom w:val="single" w:color="auto" w:sz="4" w:space="0"/>
              <w:right w:val="single" w:color="auto" w:sz="4" w:space="0"/>
            </w:tcBorders>
            <w:noWrap/>
            <w:vAlign w:val="center"/>
          </w:tcPr>
          <w:p w14:paraId="13136790">
            <w:pPr>
              <w:widowControl/>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签约重点人群组合内就诊率（%）</w:t>
            </w:r>
          </w:p>
        </w:tc>
        <w:tc>
          <w:tcPr>
            <w:tcW w:w="611" w:type="pct"/>
            <w:tcBorders>
              <w:top w:val="nil"/>
              <w:left w:val="nil"/>
              <w:bottom w:val="single" w:color="auto" w:sz="4" w:space="0"/>
              <w:right w:val="single" w:color="auto" w:sz="4" w:space="0"/>
            </w:tcBorders>
            <w:vAlign w:val="center"/>
          </w:tcPr>
          <w:p w14:paraId="385F5A7B">
            <w:pPr>
              <w:widowControl/>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6AC6D398">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w:t>
            </w:r>
          </w:p>
        </w:tc>
      </w:tr>
      <w:tr w14:paraId="29E5E5C6">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3AB84509">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c>
          <w:tcPr>
            <w:tcW w:w="2807" w:type="pct"/>
            <w:tcBorders>
              <w:top w:val="nil"/>
              <w:left w:val="nil"/>
              <w:bottom w:val="single" w:color="auto" w:sz="4" w:space="0"/>
              <w:right w:val="single" w:color="auto" w:sz="4" w:space="0"/>
            </w:tcBorders>
            <w:noWrap/>
            <w:vAlign w:val="center"/>
          </w:tcPr>
          <w:p w14:paraId="3532D168">
            <w:pPr>
              <w:widowControl/>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社区卫生服务中心平均可诊疗中医病种数量（个）</w:t>
            </w:r>
          </w:p>
        </w:tc>
        <w:tc>
          <w:tcPr>
            <w:tcW w:w="611" w:type="pct"/>
            <w:tcBorders>
              <w:top w:val="nil"/>
              <w:left w:val="nil"/>
              <w:bottom w:val="single" w:color="auto" w:sz="4" w:space="0"/>
              <w:right w:val="single" w:color="auto" w:sz="4" w:space="0"/>
            </w:tcBorders>
            <w:vAlign w:val="center"/>
          </w:tcPr>
          <w:p w14:paraId="2DAF2E96">
            <w:pPr>
              <w:widowControl/>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3D0F2836">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w:t>
            </w:r>
          </w:p>
        </w:tc>
      </w:tr>
      <w:tr w14:paraId="0D3FA3D8">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3D102C79">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r>
              <w:rPr>
                <w:rFonts w:hint="eastAsia" w:ascii="Times New Roman" w:hAnsi="Times New Roman" w:eastAsia="仿宋_GB2312" w:cs="Times New Roman"/>
                <w:kern w:val="0"/>
                <w:sz w:val="24"/>
                <w:szCs w:val="24"/>
              </w:rPr>
              <w:t>1</w:t>
            </w:r>
          </w:p>
        </w:tc>
        <w:tc>
          <w:tcPr>
            <w:tcW w:w="2807" w:type="pct"/>
            <w:tcBorders>
              <w:top w:val="nil"/>
              <w:left w:val="nil"/>
              <w:bottom w:val="single" w:color="auto" w:sz="4" w:space="0"/>
              <w:right w:val="single" w:color="auto" w:sz="4" w:space="0"/>
            </w:tcBorders>
            <w:noWrap/>
            <w:vAlign w:val="center"/>
          </w:tcPr>
          <w:p w14:paraId="497C6AE3">
            <w:pPr>
              <w:widowControl/>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标准化智慧接种门诊覆盖率（%）</w:t>
            </w:r>
          </w:p>
        </w:tc>
        <w:tc>
          <w:tcPr>
            <w:tcW w:w="611" w:type="pct"/>
            <w:tcBorders>
              <w:top w:val="nil"/>
              <w:left w:val="nil"/>
              <w:bottom w:val="single" w:color="auto" w:sz="4" w:space="0"/>
              <w:right w:val="single" w:color="auto" w:sz="4" w:space="0"/>
            </w:tcBorders>
            <w:vAlign w:val="center"/>
          </w:tcPr>
          <w:p w14:paraId="07596568">
            <w:pPr>
              <w:widowControl/>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noWrap/>
            <w:vAlign w:val="center"/>
          </w:tcPr>
          <w:p w14:paraId="21E4CB35">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r>
      <w:tr w14:paraId="6C52B1B5">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05666C73">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w:t>
            </w:r>
          </w:p>
        </w:tc>
        <w:tc>
          <w:tcPr>
            <w:tcW w:w="2807" w:type="pct"/>
            <w:tcBorders>
              <w:top w:val="nil"/>
              <w:left w:val="nil"/>
              <w:bottom w:val="single" w:color="auto" w:sz="4" w:space="0"/>
              <w:right w:val="single" w:color="auto" w:sz="4" w:space="0"/>
            </w:tcBorders>
            <w:vAlign w:val="center"/>
          </w:tcPr>
          <w:p w14:paraId="796700E1">
            <w:pPr>
              <w:widowControl/>
              <w:adjustRightInd w:val="0"/>
              <w:snapToGrid w:val="0"/>
              <w:rPr>
                <w:rFonts w:ascii="Times New Roman" w:hAnsi="Times New Roman" w:eastAsia="仿宋_GB2312" w:cs="Times New Roman"/>
                <w:kern w:val="0"/>
                <w:sz w:val="24"/>
                <w:szCs w:val="24"/>
                <w:highlight w:val="yellow"/>
              </w:rPr>
            </w:pPr>
            <w:r>
              <w:rPr>
                <w:rFonts w:hint="eastAsia" w:ascii="Times New Roman" w:hAnsi="Times New Roman" w:eastAsia="仿宋_GB2312" w:cs="Times New Roman"/>
                <w:kern w:val="0"/>
                <w:sz w:val="24"/>
                <w:szCs w:val="24"/>
              </w:rPr>
              <w:t>人工智能</w:t>
            </w:r>
            <w:r>
              <w:rPr>
                <w:rFonts w:ascii="Times New Roman" w:hAnsi="Times New Roman" w:eastAsia="仿宋_GB2312" w:cs="Times New Roman"/>
                <w:kern w:val="0"/>
                <w:sz w:val="24"/>
                <w:szCs w:val="24"/>
              </w:rPr>
              <w:t>+</w:t>
            </w:r>
            <w:r>
              <w:rPr>
                <w:rFonts w:hint="eastAsia" w:ascii="Times New Roman" w:hAnsi="Times New Roman" w:eastAsia="仿宋_GB2312" w:cs="Times New Roman"/>
                <w:kern w:val="0"/>
                <w:sz w:val="24"/>
                <w:szCs w:val="24"/>
              </w:rPr>
              <w:t>卫生健康应用场景在各级医疗机构覆盖率（</w:t>
            </w:r>
            <w:r>
              <w:rPr>
                <w:rFonts w:ascii="Times New Roman" w:hAnsi="Times New Roman" w:eastAsia="仿宋_GB2312" w:cs="Times New Roman"/>
                <w:kern w:val="0"/>
                <w:sz w:val="24"/>
                <w:szCs w:val="24"/>
              </w:rPr>
              <w:t>%</w:t>
            </w:r>
            <w:r>
              <w:rPr>
                <w:rFonts w:hint="eastAsia" w:ascii="Times New Roman" w:hAnsi="Times New Roman" w:eastAsia="仿宋_GB2312" w:cs="Times New Roman"/>
                <w:kern w:val="0"/>
                <w:sz w:val="24"/>
                <w:szCs w:val="24"/>
              </w:rPr>
              <w:t>）</w:t>
            </w:r>
          </w:p>
        </w:tc>
        <w:tc>
          <w:tcPr>
            <w:tcW w:w="611" w:type="pct"/>
            <w:tcBorders>
              <w:top w:val="nil"/>
              <w:left w:val="nil"/>
              <w:bottom w:val="single" w:color="auto" w:sz="4" w:space="0"/>
              <w:right w:val="single" w:color="auto" w:sz="4" w:space="0"/>
            </w:tcBorders>
            <w:vAlign w:val="center"/>
          </w:tcPr>
          <w:p w14:paraId="343EFB95">
            <w:pPr>
              <w:widowControl/>
              <w:adjustRightInd w:val="0"/>
              <w:snapToGrid w:val="0"/>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vAlign w:val="center"/>
          </w:tcPr>
          <w:p w14:paraId="63AC1F48">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w:t>
            </w:r>
          </w:p>
        </w:tc>
      </w:tr>
      <w:tr w14:paraId="3873660A">
        <w:tblPrEx>
          <w:tblCellMar>
            <w:top w:w="0" w:type="dxa"/>
            <w:left w:w="108" w:type="dxa"/>
            <w:bottom w:w="0" w:type="dxa"/>
            <w:right w:w="108" w:type="dxa"/>
          </w:tblCellMar>
        </w:tblPrEx>
        <w:trPr>
          <w:trHeight w:val="300" w:hRule="atLeast"/>
        </w:trPr>
        <w:tc>
          <w:tcPr>
            <w:tcW w:w="424" w:type="pct"/>
            <w:tcBorders>
              <w:top w:val="nil"/>
              <w:left w:val="single" w:color="auto" w:sz="4" w:space="0"/>
              <w:bottom w:val="single" w:color="auto" w:sz="4" w:space="0"/>
              <w:right w:val="single" w:color="auto" w:sz="4" w:space="0"/>
            </w:tcBorders>
            <w:vAlign w:val="center"/>
          </w:tcPr>
          <w:p w14:paraId="2E6799C4">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w:t>
            </w:r>
          </w:p>
        </w:tc>
        <w:tc>
          <w:tcPr>
            <w:tcW w:w="2807" w:type="pct"/>
            <w:tcBorders>
              <w:top w:val="nil"/>
              <w:left w:val="nil"/>
              <w:bottom w:val="single" w:color="auto" w:sz="4" w:space="0"/>
              <w:right w:val="single" w:color="auto" w:sz="4" w:space="0"/>
            </w:tcBorders>
            <w:vAlign w:val="center"/>
          </w:tcPr>
          <w:p w14:paraId="5A1D1519">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院前急救平均反应时间（分钟）</w:t>
            </w:r>
          </w:p>
        </w:tc>
        <w:tc>
          <w:tcPr>
            <w:tcW w:w="611" w:type="pct"/>
            <w:tcBorders>
              <w:top w:val="nil"/>
              <w:left w:val="nil"/>
              <w:bottom w:val="single" w:color="auto" w:sz="4" w:space="0"/>
              <w:right w:val="single" w:color="auto" w:sz="4" w:space="0"/>
            </w:tcBorders>
            <w:vAlign w:val="center"/>
          </w:tcPr>
          <w:p w14:paraId="459BD810">
            <w:pPr>
              <w:widowControl/>
              <w:adjustRightInd w:val="0"/>
              <w:snapToGrid w:val="0"/>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预期性</w:t>
            </w:r>
          </w:p>
        </w:tc>
        <w:tc>
          <w:tcPr>
            <w:tcW w:w="1158" w:type="pct"/>
            <w:tcBorders>
              <w:top w:val="nil"/>
              <w:left w:val="nil"/>
              <w:bottom w:val="single" w:color="auto" w:sz="4" w:space="0"/>
              <w:right w:val="single" w:color="auto" w:sz="4" w:space="0"/>
            </w:tcBorders>
            <w:vAlign w:val="center"/>
          </w:tcPr>
          <w:p w14:paraId="576B3679">
            <w:pPr>
              <w:widowControl/>
              <w:adjustRightInd w:val="0"/>
              <w:snapToGrid w:val="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1</w:t>
            </w:r>
            <w:r>
              <w:rPr>
                <w:rFonts w:hint="eastAsia" w:ascii="Times New Roman" w:hAnsi="Times New Roman" w:eastAsia="仿宋_GB2312" w:cs="Times New Roman"/>
                <w:kern w:val="0"/>
                <w:sz w:val="24"/>
                <w:szCs w:val="24"/>
              </w:rPr>
              <w:t>2</w:t>
            </w:r>
          </w:p>
        </w:tc>
      </w:tr>
    </w:tbl>
    <w:p w14:paraId="1F18BEFE">
      <w:pPr>
        <w:pStyle w:val="2"/>
        <w:spacing w:line="560" w:lineRule="exact"/>
        <w:rPr>
          <w:rFonts w:ascii="Times New Roman" w:hAnsi="Times New Roman"/>
        </w:rPr>
      </w:pPr>
      <w:bookmarkStart w:id="73" w:name="_Toc9591"/>
      <w:r>
        <w:rPr>
          <w:rFonts w:ascii="Times New Roman" w:hAnsi="Times New Roman"/>
        </w:rPr>
        <w:t>四、主要任务</w:t>
      </w:r>
      <w:bookmarkEnd w:id="73"/>
    </w:p>
    <w:p w14:paraId="76B7AD30">
      <w:pPr>
        <w:pStyle w:val="3"/>
        <w:spacing w:line="560" w:lineRule="exact"/>
      </w:pPr>
      <w:bookmarkStart w:id="74" w:name="_Toc3891"/>
      <w:r>
        <w:rPr>
          <w:rFonts w:hint="eastAsia"/>
        </w:rPr>
        <w:t>（一）施战略、做样板，坚持健康优先持续深化健康青浦建设</w:t>
      </w:r>
      <w:bookmarkEnd w:id="74"/>
    </w:p>
    <w:p w14:paraId="1C158F3F">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1.</w:t>
      </w:r>
      <w:r>
        <w:rPr>
          <w:rFonts w:hint="eastAsia" w:ascii="Times New Roman" w:hAnsi="Times New Roman" w:eastAsia="仿宋_GB2312" w:cs="Times New Roman"/>
          <w:b/>
          <w:bCs/>
          <w:kern w:val="0"/>
          <w:sz w:val="32"/>
          <w:szCs w:val="32"/>
        </w:rPr>
        <w:t>深入开展健康青浦行动。</w:t>
      </w:r>
      <w:r>
        <w:rPr>
          <w:rFonts w:hint="eastAsia" w:ascii="Times New Roman" w:hAnsi="Times New Roman" w:eastAsia="仿宋_GB2312" w:cs="Times New Roman"/>
          <w:kern w:val="0"/>
          <w:sz w:val="32"/>
          <w:szCs w:val="32"/>
        </w:rPr>
        <w:t>结合乡村振兴、环城水系建设等加强各类健康场所建设，打造无烟环境，积极开展国家健康城镇建设。围绕健康体重、家医有感、慢病管理、心理健康和行为养成等，整合体育、文旅、教育等相关部门资源投入，持续深化健康积分制，激励居民主动健康管理，打造健康中国基层治理模式创新样板。加强健康知识宣传宣介，扩大健康科普优势资源供给，发挥医疗机构健康科普主阵地和医务人员健康科普主力军作用，科普品牌公益效应持续放大，稳步提升居民健康素养水平。</w:t>
      </w:r>
    </w:p>
    <w:p w14:paraId="7FBDDDCF">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2</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b/>
          <w:bCs/>
          <w:kern w:val="0"/>
          <w:sz w:val="32"/>
          <w:szCs w:val="32"/>
        </w:rPr>
        <w:t>广泛开展群众性爱国卫生运动。</w:t>
      </w:r>
      <w:r>
        <w:rPr>
          <w:rFonts w:hint="eastAsia" w:ascii="Times New Roman" w:hAnsi="Times New Roman" w:eastAsia="仿宋_GB2312" w:cs="Times New Roman"/>
          <w:kern w:val="0"/>
          <w:sz w:val="32"/>
          <w:szCs w:val="32"/>
        </w:rPr>
        <w:t>贯彻落实《上海市爱国卫生与健康促进条例》等法律法规，完善“政府主导、部门协作、社会动员”的大卫生、大健康治理格局，落实推进群众性爱国卫生活动、基层社区工作和社会单位管理等爱国卫生三大制度，组织各街镇大力开展市民卫生健康行为倡导、城乡人居环境整治、公共卫生设施维护、病媒生物预防控制、重点场所卫生管理等系列爱国卫生专项行动。加强病媒生物控制队伍能力提升和数字化应用，确保病媒生物密度控制水平达到国家C级以上标准。</w:t>
      </w:r>
    </w:p>
    <w:p w14:paraId="6409C6D8">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rPr>
        <w:t>优化妇幼健康服务体系</w:t>
      </w:r>
      <w:r>
        <w:rPr>
          <w:rFonts w:ascii="Times New Roman" w:hAnsi="Times New Roman" w:eastAsia="仿宋_GB2312" w:cs="Times New Roman"/>
          <w:b/>
          <w:bCs/>
          <w:sz w:val="32"/>
          <w:szCs w:val="32"/>
        </w:rPr>
        <w:t>。</w:t>
      </w:r>
      <w:bookmarkStart w:id="75" w:name="OLE_LINK1"/>
      <w:r>
        <w:rPr>
          <w:rFonts w:ascii="Times New Roman" w:hAnsi="Times New Roman" w:eastAsia="仿宋_GB2312" w:cs="Times New Roman"/>
          <w:sz w:val="32"/>
          <w:szCs w:val="32"/>
        </w:rPr>
        <w:t>完善生育支持体系</w:t>
      </w:r>
      <w:bookmarkEnd w:id="75"/>
      <w:r>
        <w:rPr>
          <w:rFonts w:ascii="Times New Roman" w:hAnsi="Times New Roman" w:eastAsia="仿宋_GB2312" w:cs="Times New Roman"/>
          <w:sz w:val="32"/>
          <w:szCs w:val="32"/>
        </w:rPr>
        <w:t>和儿童早期发展服务体系</w:t>
      </w:r>
      <w:r>
        <w:rPr>
          <w:rFonts w:hint="eastAsia" w:ascii="Times New Roman" w:hAnsi="Times New Roman" w:eastAsia="仿宋_GB2312" w:cs="Times New Roman"/>
          <w:sz w:val="32"/>
          <w:szCs w:val="32"/>
        </w:rPr>
        <w:t>，倡导积极婚育观，</w:t>
      </w:r>
      <w:r>
        <w:rPr>
          <w:rFonts w:ascii="Times New Roman" w:hAnsi="Times New Roman" w:eastAsia="仿宋_GB2312" w:cs="Times New Roman"/>
          <w:sz w:val="32"/>
          <w:szCs w:val="32"/>
        </w:rPr>
        <w:t>积极推动生育友好型社会建设。</w:t>
      </w:r>
      <w:r>
        <w:rPr>
          <w:rFonts w:hint="eastAsia" w:ascii="Times New Roman" w:hAnsi="Times New Roman" w:eastAsia="仿宋_GB2312" w:cs="Times New Roman"/>
          <w:sz w:val="32"/>
          <w:szCs w:val="32"/>
        </w:rPr>
        <w:t>加强区妇幼保健所能力建设，支持</w:t>
      </w:r>
      <w:r>
        <w:rPr>
          <w:rFonts w:ascii="Times New Roman" w:hAnsi="Times New Roman" w:eastAsia="仿宋_GB2312" w:cs="Times New Roman"/>
          <w:sz w:val="32"/>
          <w:szCs w:val="32"/>
        </w:rPr>
        <w:t>复旦大学附属妇产科医院长三角一体化示范区青浦分院</w:t>
      </w:r>
      <w:r>
        <w:rPr>
          <w:rFonts w:hint="eastAsia" w:ascii="Times New Roman" w:hAnsi="Times New Roman" w:eastAsia="仿宋_GB2312" w:cs="Times New Roman"/>
          <w:sz w:val="32"/>
          <w:szCs w:val="32"/>
        </w:rPr>
        <w:t>打造生育友好示范医院，深化区域妇产专科医联体建设。</w:t>
      </w:r>
      <w:r>
        <w:rPr>
          <w:rFonts w:ascii="Times New Roman" w:hAnsi="Times New Roman" w:eastAsia="仿宋_GB2312" w:cs="Times New Roman"/>
          <w:sz w:val="32"/>
          <w:szCs w:val="32"/>
        </w:rPr>
        <w:t>持续完善母婴安全</w:t>
      </w:r>
      <w:r>
        <w:rPr>
          <w:rFonts w:hint="eastAsia" w:ascii="Times New Roman" w:hAnsi="Times New Roman" w:eastAsia="仿宋_GB2312" w:cs="Times New Roman"/>
          <w:sz w:val="32"/>
          <w:szCs w:val="32"/>
        </w:rPr>
        <w:t>保障网络</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牢牢守住母婴安全底线，</w:t>
      </w:r>
      <w:r>
        <w:rPr>
          <w:rFonts w:ascii="Times New Roman" w:hAnsi="Times New Roman" w:eastAsia="仿宋_GB2312" w:cs="Times New Roman"/>
          <w:sz w:val="32"/>
          <w:szCs w:val="32"/>
        </w:rPr>
        <w:t>加强优质生殖健康服务和生育力保护</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加快推进</w:t>
      </w:r>
      <w:r>
        <w:rPr>
          <w:rFonts w:eastAsia="仿宋_GB2312"/>
          <w:sz w:val="32"/>
          <w:szCs w:val="32"/>
        </w:rPr>
        <w:t>婚孕保健</w:t>
      </w:r>
      <w:r>
        <w:rPr>
          <w:rFonts w:hint="eastAsia" w:eastAsia="仿宋_GB2312"/>
          <w:sz w:val="32"/>
          <w:szCs w:val="32"/>
        </w:rPr>
        <w:t>一体化</w:t>
      </w:r>
      <w:r>
        <w:rPr>
          <w:rFonts w:ascii="Times New Roman" w:hAnsi="Times New Roman" w:eastAsia="仿宋_GB2312" w:cs="Times New Roman"/>
          <w:sz w:val="32"/>
          <w:szCs w:val="32"/>
        </w:rPr>
        <w:t>工作，加强婚检机构规范化建设，</w:t>
      </w:r>
      <w:r>
        <w:rPr>
          <w:rFonts w:hint="eastAsia" w:ascii="Times New Roman" w:hAnsi="Times New Roman" w:eastAsia="仿宋_GB2312" w:cs="Times New Roman"/>
          <w:sz w:val="32"/>
          <w:szCs w:val="32"/>
        </w:rPr>
        <w:t>深入</w:t>
      </w:r>
      <w:r>
        <w:rPr>
          <w:rFonts w:ascii="Times New Roman" w:hAnsi="Times New Roman" w:eastAsia="仿宋_GB2312" w:cs="Times New Roman"/>
          <w:sz w:val="32"/>
          <w:szCs w:val="32"/>
        </w:rPr>
        <w:t>开展早孕关爱</w:t>
      </w:r>
      <w:r>
        <w:rPr>
          <w:rFonts w:hint="eastAsia" w:ascii="Times New Roman" w:hAnsi="Times New Roman" w:eastAsia="仿宋_GB2312" w:cs="Times New Roman"/>
          <w:sz w:val="32"/>
          <w:szCs w:val="32"/>
        </w:rPr>
        <w:t>服务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全面落实儿童健康行动计划，</w:t>
      </w:r>
      <w:r>
        <w:rPr>
          <w:rFonts w:ascii="Times New Roman" w:hAnsi="Times New Roman" w:eastAsia="仿宋_GB2312" w:cs="Times New Roman"/>
          <w:sz w:val="32"/>
          <w:szCs w:val="32"/>
        </w:rPr>
        <w:t>深入推进国家儿童友好医院建设</w:t>
      </w:r>
      <w:r>
        <w:rPr>
          <w:rFonts w:hint="eastAsia" w:ascii="Times New Roman" w:hAnsi="Times New Roman" w:eastAsia="仿宋_GB2312" w:cs="Times New Roman"/>
          <w:sz w:val="32"/>
          <w:szCs w:val="32"/>
        </w:rPr>
        <w:t>。开展儿童青少年“明眸、皓齿、壮骨、健体”公共卫生行动，以健康副校（园）长制度建设为抓手，加强近视、超重肥胖等学生常见病防治以及儿童伤害防制。</w:t>
      </w:r>
    </w:p>
    <w:p w14:paraId="1564E3F4">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4.</w:t>
      </w:r>
      <w:r>
        <w:rPr>
          <w:rFonts w:hint="eastAsia" w:ascii="Times New Roman" w:hAnsi="Times New Roman" w:eastAsia="仿宋_GB2312" w:cs="Times New Roman"/>
          <w:b/>
          <w:bCs/>
          <w:sz w:val="32"/>
          <w:szCs w:val="32"/>
        </w:rPr>
        <w:t>加强老龄健康管理服务。</w:t>
      </w:r>
      <w:r>
        <w:rPr>
          <w:rFonts w:hint="eastAsia" w:ascii="Times New Roman" w:hAnsi="Times New Roman" w:eastAsia="仿宋_GB2312" w:cs="Times New Roman"/>
          <w:sz w:val="32"/>
          <w:szCs w:val="32"/>
        </w:rPr>
        <w:t>进一步提高</w:t>
      </w:r>
      <w:bookmarkStart w:id="76" w:name="OLE_LINK51"/>
      <w:r>
        <w:rPr>
          <w:rFonts w:hint="eastAsia" w:ascii="Times New Roman" w:hAnsi="Times New Roman" w:eastAsia="仿宋_GB2312" w:cs="Times New Roman"/>
          <w:sz w:val="32"/>
          <w:szCs w:val="32"/>
        </w:rPr>
        <w:t>老年友好医疗机构</w:t>
      </w:r>
      <w:bookmarkEnd w:id="76"/>
      <w:r>
        <w:rPr>
          <w:rFonts w:hint="eastAsia" w:ascii="Times New Roman" w:hAnsi="Times New Roman" w:eastAsia="仿宋_GB2312" w:cs="Times New Roman"/>
          <w:sz w:val="32"/>
          <w:szCs w:val="32"/>
        </w:rPr>
        <w:t>覆盖率，依托综合医院加强老年医学科建设，依托家庭医生签约服务加强老年人健康管理。优化老年健康教育活动，加强老年人健康状况评估与功能健康服务，加大对老年常见慢性病、退行性疾病和心理健康问题的干预，推动老年人跌倒分级预防与综合干预，强化老年人营养健康防治体系建设。加强老年护理与康复服务供给和质量，完善医养结合服务模式，健全失能失智老年人的照护体系，强化失智老人的防治康复一体化建设。提升安宁疗护服务质量，加强对计划生育家庭老年人的扶助关怀。</w:t>
      </w:r>
    </w:p>
    <w:p w14:paraId="3B66F63F">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5.</w:t>
      </w:r>
      <w:r>
        <w:rPr>
          <w:rFonts w:hint="eastAsia" w:ascii="Times New Roman" w:hAnsi="Times New Roman" w:eastAsia="仿宋_GB2312" w:cs="Times New Roman"/>
          <w:b/>
          <w:bCs/>
          <w:sz w:val="32"/>
          <w:szCs w:val="32"/>
        </w:rPr>
        <w:t>完善健全精神卫生和社会心理服务体系</w:t>
      </w:r>
      <w:r>
        <w:rPr>
          <w:rFonts w:hint="eastAsia" w:ascii="Times New Roman" w:hAnsi="Times New Roman" w:eastAsia="仿宋_GB2312" w:cs="Times New Roman"/>
          <w:sz w:val="32"/>
          <w:szCs w:val="32"/>
        </w:rPr>
        <w:t>。强化部门、社会、家庭、个人协同，构建资源配置合理、服务网络融合、覆盖全人群和全生命周期、有效支撑公众心理健康自主管理的精神卫生体系。完善医疗机构、心理咨询与心理治疗机构、企事业单位、社会组织和社区衔接递进的心理健康服务网络，促进居民心理和行为问题的早期识别、干预和康复。加强</w:t>
      </w:r>
      <w:r>
        <w:rPr>
          <w:rFonts w:ascii="Times New Roman" w:hAnsi="Times New Roman" w:eastAsia="仿宋_GB2312" w:cs="Times New Roman"/>
          <w:sz w:val="32"/>
          <w:szCs w:val="32"/>
        </w:rPr>
        <w:t>区精神卫生中心能力</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，支持</w:t>
      </w:r>
      <w:r>
        <w:rPr>
          <w:rFonts w:hint="eastAsia" w:ascii="Times New Roman" w:hAnsi="Times New Roman" w:eastAsia="仿宋_GB2312" w:cs="Times New Roman"/>
          <w:sz w:val="32"/>
          <w:szCs w:val="32"/>
        </w:rPr>
        <w:t>儿童青少年心理健康、老年精神医学、心境障碍、睡眠障碍等</w:t>
      </w:r>
      <w:r>
        <w:rPr>
          <w:rFonts w:ascii="Times New Roman" w:hAnsi="Times New Roman" w:eastAsia="仿宋_GB2312" w:cs="Times New Roman"/>
          <w:sz w:val="32"/>
          <w:szCs w:val="32"/>
        </w:rPr>
        <w:t>亚专科</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，推进新技术临床应用。</w:t>
      </w:r>
      <w:r>
        <w:rPr>
          <w:rFonts w:hint="eastAsia" w:ascii="Times New Roman" w:hAnsi="Times New Roman" w:eastAsia="仿宋_GB2312" w:cs="Times New Roman"/>
          <w:sz w:val="32"/>
          <w:szCs w:val="32"/>
        </w:rPr>
        <w:t>推进精神科在社区卫生服务中心全覆盖，开展标准化社区心理健康门诊建设，加强社区全科医生等医务人员心理健康能力培训。</w:t>
      </w:r>
    </w:p>
    <w:p w14:paraId="09715AEB">
      <w:pPr>
        <w:pStyle w:val="3"/>
        <w:spacing w:line="560" w:lineRule="exact"/>
      </w:pPr>
      <w:bookmarkStart w:id="77" w:name="_Toc340"/>
      <w:r>
        <w:t>（</w:t>
      </w:r>
      <w:r>
        <w:rPr>
          <w:rFonts w:hint="eastAsia"/>
        </w:rPr>
        <w:t>二</w:t>
      </w:r>
      <w:r>
        <w:t>）优布局</w:t>
      </w:r>
      <w:r>
        <w:rPr>
          <w:rFonts w:hint="eastAsia"/>
        </w:rPr>
        <w:t>、</w:t>
      </w:r>
      <w:r>
        <w:t>提品质，完善连续整合的现代化医疗服务体系</w:t>
      </w:r>
      <w:bookmarkEnd w:id="77"/>
    </w:p>
    <w:p w14:paraId="4BF3D9DD">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1.优化区域</w:t>
      </w:r>
      <w:r>
        <w:rPr>
          <w:rFonts w:ascii="Times New Roman" w:hAnsi="Times New Roman" w:eastAsia="仿宋_GB2312" w:cs="Times New Roman"/>
          <w:b/>
          <w:bCs/>
          <w:kern w:val="0"/>
          <w:sz w:val="32"/>
          <w:szCs w:val="32"/>
        </w:rPr>
        <w:t>医疗</w:t>
      </w:r>
      <w:r>
        <w:rPr>
          <w:rFonts w:ascii="Times New Roman" w:hAnsi="Times New Roman" w:eastAsia="仿宋_GB2312" w:cs="Times New Roman"/>
          <w:b/>
          <w:bCs/>
          <w:sz w:val="32"/>
          <w:szCs w:val="32"/>
        </w:rPr>
        <w:t>资源布局。</w:t>
      </w:r>
      <w:r>
        <w:rPr>
          <w:rFonts w:hint="eastAsia" w:ascii="Times New Roman" w:hAnsi="Times New Roman" w:eastAsia="仿宋_GB2312" w:cs="Times New Roman"/>
          <w:sz w:val="32"/>
          <w:szCs w:val="32"/>
        </w:rPr>
        <w:t>全力推动</w:t>
      </w:r>
      <w:r>
        <w:rPr>
          <w:rFonts w:ascii="Times New Roman" w:hAnsi="Times New Roman" w:eastAsia="仿宋_GB2312" w:cs="Times New Roman"/>
          <w:sz w:val="32"/>
          <w:szCs w:val="32"/>
        </w:rPr>
        <w:t>复旦大学附属妇产科医院长三角一体化示范区青浦分院健康发展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协助推进</w:t>
      </w:r>
      <w:bookmarkStart w:id="78" w:name="OLE_LINK28"/>
      <w:r>
        <w:rPr>
          <w:rFonts w:ascii="Times New Roman" w:hAnsi="Times New Roman" w:eastAsia="仿宋_GB2312" w:cs="Times New Roman"/>
          <w:sz w:val="32"/>
          <w:szCs w:val="32"/>
        </w:rPr>
        <w:t>复旦大学附属中山医院国家医学中心青浦新城院区</w:t>
      </w:r>
      <w:bookmarkEnd w:id="78"/>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上海市儿童医院长三角一体化示范区</w:t>
      </w:r>
      <w:r>
        <w:rPr>
          <w:rFonts w:hint="eastAsia" w:ascii="Times New Roman" w:hAnsi="Times New Roman" w:eastAsia="仿宋_GB2312" w:cs="Times New Roman"/>
          <w:sz w:val="32"/>
          <w:szCs w:val="32"/>
        </w:rPr>
        <w:t>医学</w:t>
      </w:r>
      <w:r>
        <w:rPr>
          <w:rFonts w:ascii="Times New Roman" w:hAnsi="Times New Roman" w:eastAsia="仿宋_GB2312" w:cs="Times New Roman"/>
          <w:sz w:val="32"/>
          <w:szCs w:val="32"/>
        </w:rPr>
        <w:t>中心</w:t>
      </w:r>
      <w:r>
        <w:rPr>
          <w:rFonts w:hint="eastAsia" w:ascii="Times New Roman" w:hAnsi="Times New Roman" w:eastAsia="仿宋_GB2312" w:cs="Times New Roman"/>
          <w:sz w:val="32"/>
          <w:szCs w:val="32"/>
        </w:rPr>
        <w:t>建设运行，加快引进建设上海市肺科医院青浦院区，切实提升区域内市级医院与其总院医疗服务同质化水平，</w:t>
      </w:r>
      <w:r>
        <w:rPr>
          <w:rFonts w:ascii="Times New Roman" w:hAnsi="Times New Roman" w:eastAsia="仿宋_GB2312" w:cs="Times New Roman"/>
          <w:sz w:val="32"/>
          <w:szCs w:val="32"/>
        </w:rPr>
        <w:t>充分释放市级优质医疗资源价值。</w:t>
      </w:r>
      <w:bookmarkStart w:id="79" w:name="OLE_LINK45"/>
      <w:r>
        <w:rPr>
          <w:rFonts w:hint="eastAsia" w:ascii="Times New Roman" w:hAnsi="Times New Roman" w:eastAsia="仿宋_GB2312" w:cs="Times New Roman"/>
          <w:sz w:val="32"/>
          <w:szCs w:val="32"/>
        </w:rPr>
        <w:t>持续提升</w:t>
      </w:r>
      <w:r>
        <w:rPr>
          <w:rFonts w:ascii="Times New Roman" w:hAnsi="Times New Roman" w:eastAsia="仿宋_GB2312" w:cs="Times New Roman"/>
          <w:sz w:val="32"/>
          <w:szCs w:val="32"/>
        </w:rPr>
        <w:t>复旦大学附属中山医院青浦分院</w:t>
      </w:r>
      <w:bookmarkEnd w:id="79"/>
      <w:r>
        <w:rPr>
          <w:rFonts w:hint="eastAsia" w:ascii="Times New Roman" w:hAnsi="Times New Roman" w:eastAsia="仿宋_GB2312" w:cs="Times New Roman"/>
          <w:sz w:val="32"/>
          <w:szCs w:val="32"/>
        </w:rPr>
        <w:t>区域性医疗中心服务能级，加快推进区中医医院迁建，推动朱家角人民医院转型建设以老年医学、康复为特色的综合性医院</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强化区级医疗机构承上启下关键枢纽作用，深化与区域内</w:t>
      </w:r>
      <w:r>
        <w:rPr>
          <w:rFonts w:ascii="Times New Roman" w:hAnsi="Times New Roman" w:eastAsia="仿宋_GB2312" w:cs="Times New Roman"/>
          <w:sz w:val="32"/>
          <w:szCs w:val="32"/>
        </w:rPr>
        <w:t>市级优质医疗资源合作</w:t>
      </w:r>
      <w:r>
        <w:rPr>
          <w:rFonts w:hint="eastAsia" w:ascii="Times New Roman" w:hAnsi="Times New Roman" w:eastAsia="仿宋_GB2312" w:cs="Times New Roman"/>
          <w:sz w:val="32"/>
          <w:szCs w:val="32"/>
        </w:rPr>
        <w:t>，加快推动冗余资源转型，形成资源互补、错位</w:t>
      </w:r>
      <w:r>
        <w:rPr>
          <w:rFonts w:ascii="Times New Roman" w:hAnsi="Times New Roman" w:eastAsia="仿宋_GB2312" w:cs="Times New Roman"/>
          <w:sz w:val="32"/>
          <w:szCs w:val="32"/>
        </w:rPr>
        <w:t>协同</w:t>
      </w:r>
      <w:r>
        <w:rPr>
          <w:rFonts w:hint="eastAsia" w:ascii="Times New Roman" w:hAnsi="Times New Roman" w:eastAsia="仿宋_GB2312" w:cs="Times New Roman"/>
          <w:sz w:val="32"/>
          <w:szCs w:val="32"/>
        </w:rPr>
        <w:t>发展的格局。</w:t>
      </w:r>
      <w:r>
        <w:rPr>
          <w:rFonts w:hint="eastAsia" w:eastAsia="仿宋_GB2312"/>
          <w:kern w:val="0"/>
          <w:sz w:val="32"/>
          <w:szCs w:val="32"/>
        </w:rPr>
        <w:t>加减并举稳定区属公立医疗机构和社会办医床位规模，进一步优化医疗床位资源结构。</w:t>
      </w:r>
      <w:r>
        <w:rPr>
          <w:rFonts w:ascii="Times New Roman" w:hAnsi="Times New Roman" w:eastAsia="仿宋_GB2312" w:cs="Times New Roman"/>
          <w:sz w:val="32"/>
          <w:szCs w:val="32"/>
        </w:rPr>
        <w:t>加快补齐眼病防治、职业病防治、康复、急诊、重症等短板。</w:t>
      </w:r>
    </w:p>
    <w:p w14:paraId="47DE113A">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2.</w:t>
      </w:r>
      <w:r>
        <w:rPr>
          <w:rFonts w:hint="eastAsia" w:ascii="Times New Roman" w:hAnsi="Times New Roman" w:eastAsia="仿宋_GB2312" w:cs="Times New Roman"/>
          <w:b/>
          <w:bCs/>
          <w:sz w:val="32"/>
          <w:szCs w:val="32"/>
        </w:rPr>
        <w:t>提升区域</w:t>
      </w:r>
      <w:r>
        <w:rPr>
          <w:rFonts w:hint="eastAsia" w:ascii="Times New Roman" w:hAnsi="Times New Roman" w:eastAsia="仿宋_GB2312" w:cs="Times New Roman"/>
          <w:b/>
          <w:bCs/>
          <w:kern w:val="0"/>
          <w:sz w:val="32"/>
          <w:szCs w:val="32"/>
        </w:rPr>
        <w:t>医疗</w:t>
      </w:r>
      <w:r>
        <w:rPr>
          <w:rFonts w:hint="eastAsia" w:ascii="Times New Roman" w:hAnsi="Times New Roman" w:eastAsia="仿宋_GB2312" w:cs="Times New Roman"/>
          <w:b/>
          <w:bCs/>
          <w:sz w:val="32"/>
          <w:szCs w:val="32"/>
        </w:rPr>
        <w:t>服务水平</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rPr>
        <w:t>支持</w:t>
      </w:r>
      <w:r>
        <w:rPr>
          <w:rFonts w:ascii="Times New Roman" w:hAnsi="Times New Roman" w:eastAsia="仿宋_GB2312" w:cs="Times New Roman"/>
          <w:sz w:val="32"/>
          <w:szCs w:val="32"/>
        </w:rPr>
        <w:t>复旦大学附属中山医院青浦分院</w:t>
      </w:r>
      <w:r>
        <w:rPr>
          <w:rFonts w:hint="eastAsia" w:ascii="Times New Roman" w:hAnsi="Times New Roman" w:eastAsia="仿宋_GB2312" w:cs="Times New Roman"/>
          <w:sz w:val="32"/>
          <w:szCs w:val="32"/>
        </w:rPr>
        <w:t>建设高质量区域性医疗中心，重点发展实用型医疗技术以</w:t>
      </w:r>
      <w:r>
        <w:rPr>
          <w:rFonts w:hint="eastAsia" w:ascii="仿宋_GB2312" w:hAnsi="Times New Roman" w:eastAsia="仿宋_GB2312"/>
          <w:color w:val="000000"/>
          <w:kern w:val="0"/>
          <w:sz w:val="32"/>
          <w:szCs w:val="32"/>
        </w:rPr>
        <w:t>满足区域主要疾病谱需求</w:t>
      </w:r>
      <w:r>
        <w:rPr>
          <w:rFonts w:hint="eastAsia" w:ascii="Times New Roman" w:hAnsi="Times New Roman" w:eastAsia="仿宋_GB2312" w:cs="Times New Roman"/>
          <w:sz w:val="32"/>
          <w:szCs w:val="32"/>
        </w:rPr>
        <w:t>，</w:t>
      </w:r>
      <w:r>
        <w:rPr>
          <w:rFonts w:hint="eastAsia" w:ascii="仿宋_GB2312" w:hAnsi="Times New Roman" w:eastAsia="仿宋_GB2312"/>
          <w:color w:val="000000"/>
          <w:kern w:val="0"/>
          <w:sz w:val="32"/>
          <w:szCs w:val="32"/>
        </w:rPr>
        <w:t>推动市级重点学科向“拳头品牌”转变，培育一批区级优势学科成为市级重点学科</w:t>
      </w:r>
      <w:r>
        <w:rPr>
          <w:rFonts w:hint="eastAsia" w:ascii="Times New Roman" w:hAnsi="Times New Roman" w:eastAsia="仿宋_GB2312" w:cs="Times New Roman"/>
          <w:sz w:val="32"/>
          <w:szCs w:val="32"/>
        </w:rPr>
        <w:t>，不断加强</w:t>
      </w:r>
      <w:r>
        <w:rPr>
          <w:rFonts w:hint="eastAsia" w:ascii="仿宋_GB2312" w:eastAsia="仿宋_GB2312"/>
          <w:snapToGrid w:val="0"/>
          <w:sz w:val="32"/>
          <w:szCs w:val="32"/>
        </w:rPr>
        <w:t>胸痛中心、卒中中心、创伤中心、血液净化中心、妇儿中心等救治中心建设</w:t>
      </w:r>
      <w:r>
        <w:rPr>
          <w:rFonts w:hint="eastAsia" w:ascii="Times New Roman" w:hAnsi="Times New Roman" w:eastAsia="仿宋_GB2312" w:cs="Times New Roman"/>
          <w:sz w:val="32"/>
          <w:szCs w:val="32"/>
        </w:rPr>
        <w:t>，打造</w:t>
      </w:r>
      <w:r>
        <w:rPr>
          <w:rFonts w:hint="eastAsia" w:ascii="仿宋_GB2312" w:hAnsi="Times New Roman" w:eastAsia="仿宋_GB2312"/>
          <w:color w:val="000000"/>
          <w:kern w:val="0"/>
          <w:sz w:val="32"/>
          <w:szCs w:val="32"/>
        </w:rPr>
        <w:t>“急救-慢病-康复”一体化学科体系</w:t>
      </w:r>
      <w:r>
        <w:rPr>
          <w:rFonts w:hint="eastAsia" w:ascii="Times New Roman" w:hAnsi="Times New Roman" w:eastAsia="仿宋_GB2312" w:cs="Times New Roman"/>
          <w:sz w:val="32"/>
          <w:szCs w:val="32"/>
        </w:rPr>
        <w:t>，加快提升</w:t>
      </w:r>
      <w:r>
        <w:rPr>
          <w:rFonts w:ascii="Times New Roman" w:hAnsi="Times New Roman" w:eastAsia="仿宋_GB2312" w:cs="Times New Roman"/>
          <w:sz w:val="32"/>
          <w:szCs w:val="32"/>
        </w:rPr>
        <w:t>临床研究</w:t>
      </w:r>
      <w:r>
        <w:rPr>
          <w:rFonts w:hint="eastAsia" w:ascii="Times New Roman" w:hAnsi="Times New Roman" w:eastAsia="仿宋_GB2312" w:cs="Times New Roman"/>
          <w:sz w:val="32"/>
          <w:szCs w:val="32"/>
        </w:rPr>
        <w:t>能力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支持</w:t>
      </w:r>
      <w:r>
        <w:rPr>
          <w:rFonts w:ascii="Times New Roman" w:hAnsi="Times New Roman" w:eastAsia="仿宋_GB2312" w:cs="Times New Roman"/>
          <w:sz w:val="32"/>
          <w:szCs w:val="32"/>
        </w:rPr>
        <w:t>朱家角人民医院</w:t>
      </w:r>
      <w:r>
        <w:rPr>
          <w:rFonts w:hint="eastAsia" w:ascii="Times New Roman" w:hAnsi="Times New Roman" w:eastAsia="仿宋_GB2312" w:cs="Times New Roman"/>
          <w:sz w:val="32"/>
          <w:szCs w:val="32"/>
        </w:rPr>
        <w:t>重构学科布局、加快转型发展，建设</w:t>
      </w:r>
      <w:r>
        <w:rPr>
          <w:rFonts w:hint="eastAsia" w:ascii="仿宋_GB2312" w:hAnsi="仿宋_GB2312" w:eastAsia="仿宋_GB2312" w:cs="仿宋_GB2312"/>
          <w:sz w:val="32"/>
          <w:szCs w:val="32"/>
        </w:rPr>
        <w:t>康复医学、老年医学、皮肤病、骨科修复重建等特色医学中心</w:t>
      </w:r>
      <w:r>
        <w:rPr>
          <w:rFonts w:hint="eastAsia" w:ascii="Times New Roman" w:hAnsi="Times New Roman" w:eastAsia="仿宋_GB2312" w:cs="Times New Roman"/>
          <w:sz w:val="32"/>
          <w:szCs w:val="32"/>
        </w:rPr>
        <w:t>，构建全生命周期健康管理体系；重点加强康复功能建设，深化与三甲医院合作，建设神经康复、骨关节康复、老年慢病康复、妇科肿瘤康复等特色亚专科，打造区级示范化康复医学中心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持续提升</w:t>
      </w:r>
      <w:r>
        <w:rPr>
          <w:rFonts w:ascii="Times New Roman" w:hAnsi="Times New Roman" w:eastAsia="仿宋_GB2312" w:cs="Times New Roman"/>
          <w:sz w:val="32"/>
          <w:szCs w:val="32"/>
        </w:rPr>
        <w:t>院前</w:t>
      </w:r>
      <w:r>
        <w:rPr>
          <w:rFonts w:hint="eastAsia" w:ascii="Times New Roman" w:hAnsi="Times New Roman" w:eastAsia="仿宋_GB2312" w:cs="Times New Roman"/>
          <w:sz w:val="32"/>
          <w:szCs w:val="32"/>
        </w:rPr>
        <w:t>医疗</w:t>
      </w:r>
      <w:r>
        <w:rPr>
          <w:rFonts w:ascii="Times New Roman" w:hAnsi="Times New Roman" w:eastAsia="仿宋_GB2312" w:cs="Times New Roman"/>
          <w:sz w:val="32"/>
          <w:szCs w:val="32"/>
        </w:rPr>
        <w:t>急救服务能力，完善院前院内急救衔接机制</w:t>
      </w:r>
      <w:r>
        <w:rPr>
          <w:rFonts w:hint="eastAsia" w:ascii="Times New Roman" w:hAnsi="Times New Roman" w:eastAsia="仿宋_GB2312" w:cs="Times New Roman"/>
          <w:sz w:val="32"/>
          <w:szCs w:val="32"/>
        </w:rPr>
        <w:t>，推进急诊急救一体化建设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持续完善医疗服务质量管理与控制体系，严守医疗质量生命线，加强医疗服务标准规范应用，提升临床诊疗专业服务水平。加强血液质量安全体系建设，保障临床用血和血液安全。</w:t>
      </w:r>
    </w:p>
    <w:p w14:paraId="50EE0F33">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3.深化构建</w:t>
      </w:r>
      <w:r>
        <w:rPr>
          <w:rFonts w:ascii="Times New Roman" w:hAnsi="Times New Roman" w:eastAsia="仿宋_GB2312" w:cs="Times New Roman"/>
          <w:b/>
          <w:bCs/>
          <w:kern w:val="0"/>
          <w:sz w:val="32"/>
          <w:szCs w:val="32"/>
        </w:rPr>
        <w:t>分级</w:t>
      </w:r>
      <w:r>
        <w:rPr>
          <w:rFonts w:ascii="Times New Roman" w:hAnsi="Times New Roman" w:eastAsia="仿宋_GB2312" w:cs="Times New Roman"/>
          <w:b/>
          <w:bCs/>
          <w:sz w:val="32"/>
          <w:szCs w:val="32"/>
        </w:rPr>
        <w:t>诊疗格局。</w:t>
      </w:r>
      <w:r>
        <w:rPr>
          <w:rFonts w:ascii="Times New Roman" w:hAnsi="Times New Roman" w:eastAsia="仿宋_GB2312" w:cs="Times New Roman"/>
          <w:sz w:val="32"/>
          <w:szCs w:val="32"/>
        </w:rPr>
        <w:t>扎实推进紧密型城市医疗集团试点建设，进一步完善医联体网格化布局，</w:t>
      </w:r>
      <w:r>
        <w:rPr>
          <w:rFonts w:hint="eastAsia" w:ascii="Times New Roman" w:hAnsi="Times New Roman" w:eastAsia="仿宋_GB2312" w:cs="Times New Roman"/>
          <w:sz w:val="32"/>
          <w:szCs w:val="32"/>
        </w:rPr>
        <w:t>推动集团内各级各类医疗卫生机构落实功能定位，形成科学有序的就医格局和系统连续的诊疗格局，进一步鼓励具有专科优势的社会办医疗机构加入集团建设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强化紧密型城市医疗集团内牵头医院和各成员单位人、财、物、信息等统筹管理、集约使用，同步提升服务能力。</w:t>
      </w:r>
      <w:bookmarkStart w:id="80" w:name="OLE_LINK55"/>
      <w:r>
        <w:rPr>
          <w:rFonts w:hint="eastAsia" w:ascii="Times New Roman" w:hAnsi="Times New Roman" w:eastAsia="仿宋_GB2312" w:cs="Times New Roman"/>
          <w:sz w:val="32"/>
          <w:szCs w:val="32"/>
        </w:rPr>
        <w:t>持续加强</w:t>
      </w:r>
      <w:r>
        <w:rPr>
          <w:rFonts w:ascii="Times New Roman" w:hAnsi="Times New Roman" w:eastAsia="仿宋_GB2312" w:cs="Times New Roman"/>
          <w:sz w:val="32"/>
          <w:szCs w:val="32"/>
        </w:rPr>
        <w:t>复旦大学附属中山医院青浦分院区域性医疗中</w:t>
      </w:r>
      <w:r>
        <w:rPr>
          <w:rFonts w:hint="eastAsia" w:ascii="仿宋_GB2312" w:hAnsi="Times New Roman" w:eastAsia="仿宋_GB2312" w:cs="Times New Roman"/>
          <w:sz w:val="32"/>
          <w:szCs w:val="32"/>
        </w:rPr>
        <w:t>心“六中心”建</w:t>
      </w:r>
      <w:r>
        <w:rPr>
          <w:rFonts w:ascii="Times New Roman" w:hAnsi="Times New Roman" w:eastAsia="仿宋_GB2312" w:cs="Times New Roman"/>
          <w:sz w:val="32"/>
          <w:szCs w:val="32"/>
        </w:rPr>
        <w:t>设</w:t>
      </w:r>
      <w:bookmarkEnd w:id="80"/>
      <w:r>
        <w:rPr>
          <w:rFonts w:hint="eastAsia" w:ascii="Times New Roman" w:hAnsi="Times New Roman" w:eastAsia="仿宋_GB2312" w:cs="Times New Roman"/>
          <w:sz w:val="32"/>
          <w:szCs w:val="32"/>
        </w:rPr>
        <w:t>，</w:t>
      </w:r>
      <w:r>
        <w:rPr>
          <w:rFonts w:hint="eastAsia" w:eastAsia="仿宋_GB2312"/>
          <w:kern w:val="0"/>
          <w:sz w:val="32"/>
          <w:szCs w:val="32"/>
        </w:rPr>
        <w:t>统筹建设紧密型城市医疗集团区域中心云药房，将社区卫生服务中心康复、护理、健康管理、心理健康等资源充分转化为分级诊疗的承接能力</w:t>
      </w:r>
      <w:r>
        <w:rPr>
          <w:rFonts w:ascii="Times New Roman" w:hAnsi="Times New Roman" w:eastAsia="仿宋_GB2312" w:cs="Times New Roman"/>
          <w:sz w:val="32"/>
          <w:szCs w:val="32"/>
        </w:rPr>
        <w:t>。</w:t>
      </w:r>
    </w:p>
    <w:p w14:paraId="1F2485F1">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4.着力</w:t>
      </w:r>
      <w:r>
        <w:rPr>
          <w:rFonts w:hint="eastAsia" w:ascii="Times New Roman" w:hAnsi="Times New Roman" w:eastAsia="仿宋_GB2312" w:cs="Times New Roman"/>
          <w:b/>
          <w:bCs/>
          <w:sz w:val="32"/>
          <w:szCs w:val="32"/>
        </w:rPr>
        <w:t>提升</w:t>
      </w:r>
      <w:r>
        <w:rPr>
          <w:rFonts w:ascii="Times New Roman" w:hAnsi="Times New Roman" w:eastAsia="仿宋_GB2312" w:cs="Times New Roman"/>
          <w:b/>
          <w:bCs/>
          <w:sz w:val="32"/>
          <w:szCs w:val="32"/>
        </w:rPr>
        <w:t>社区卫生服务</w:t>
      </w:r>
      <w:r>
        <w:rPr>
          <w:rFonts w:hint="eastAsia" w:ascii="Times New Roman" w:hAnsi="Times New Roman" w:eastAsia="仿宋_GB2312" w:cs="Times New Roman"/>
          <w:b/>
          <w:bCs/>
          <w:sz w:val="32"/>
          <w:szCs w:val="32"/>
        </w:rPr>
        <w:t>能力</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rPr>
        <w:t>推进华为练秋湖研发中心配套西岑社区卫生服务中心、</w:t>
      </w:r>
      <w:r>
        <w:rPr>
          <w:rFonts w:ascii="Times New Roman" w:hAnsi="Times New Roman" w:eastAsia="仿宋_GB2312" w:cs="Times New Roman"/>
          <w:bCs/>
          <w:sz w:val="32"/>
          <w:szCs w:val="32"/>
          <w14:ligatures w14:val="standardContextual"/>
        </w:rPr>
        <w:t>青浦新城一站大居社区卫生服务中心（</w:t>
      </w:r>
      <w:r>
        <w:rPr>
          <w:rFonts w:hint="eastAsia" w:ascii="Times New Roman" w:hAnsi="Times New Roman" w:eastAsia="仿宋_GB2312" w:cs="Times New Roman"/>
          <w:bCs/>
          <w:sz w:val="32"/>
          <w:szCs w:val="32"/>
          <w14:ligatures w14:val="standardContextual"/>
        </w:rPr>
        <w:t>二</w:t>
      </w:r>
      <w:r>
        <w:rPr>
          <w:rFonts w:ascii="Times New Roman" w:hAnsi="Times New Roman" w:eastAsia="仿宋_GB2312" w:cs="Times New Roman"/>
          <w:bCs/>
          <w:sz w:val="32"/>
          <w:szCs w:val="32"/>
          <w14:ligatures w14:val="standardContextual"/>
        </w:rPr>
        <w:t>期）</w:t>
      </w:r>
      <w:r>
        <w:rPr>
          <w:rFonts w:hint="eastAsia" w:ascii="Times New Roman" w:hAnsi="Times New Roman" w:eastAsia="仿宋_GB2312" w:cs="Times New Roman"/>
          <w:bCs/>
          <w:sz w:val="32"/>
          <w:szCs w:val="32"/>
          <w14:ligatures w14:val="standardContextual"/>
        </w:rPr>
        <w:t>、朱家角镇社区卫生服务中心、赵巷镇社区卫生服务中心特色居住区分中心和徐泾镇</w:t>
      </w:r>
      <w:r>
        <w:rPr>
          <w:rFonts w:hint="eastAsia" w:ascii="Times New Roman" w:hAnsi="Times New Roman" w:eastAsia="仿宋_GB2312" w:cs="Times New Roman"/>
          <w:sz w:val="32"/>
          <w:szCs w:val="32"/>
        </w:rPr>
        <w:t>社区卫生服务中心蟠龙分中心在建工程有序建设。推进</w:t>
      </w:r>
      <w:bookmarkStart w:id="81" w:name="OLE_LINK41"/>
      <w:r>
        <w:rPr>
          <w:rFonts w:hint="eastAsia" w:ascii="Times New Roman" w:hAnsi="Times New Roman" w:eastAsia="仿宋_GB2312" w:cs="Times New Roman"/>
          <w:sz w:val="32"/>
          <w:szCs w:val="32"/>
        </w:rPr>
        <w:t>夏阳街道社区卫生服务中心</w:t>
      </w:r>
      <w:bookmarkEnd w:id="81"/>
      <w:r>
        <w:rPr>
          <w:rFonts w:hint="eastAsia" w:ascii="Times New Roman" w:hAnsi="Times New Roman" w:eastAsia="仿宋_GB2312" w:cs="Times New Roman"/>
          <w:sz w:val="32"/>
          <w:szCs w:val="32"/>
        </w:rPr>
        <w:t>新建、香花桥街道社区卫生服务中心迁建、练塘镇社区卫生服务中心扩建、盈浦街道社区卫生服务中心升级改造。将村卫生室建设纳入宜居宜业和美乡村建设重点任务，综合考虑辖区人口密度、医疗服务辐射范围和设施配套条件等对村卫生室、社区卫生服务站进行布局优化和标准化建设。</w:t>
      </w:r>
      <w:r>
        <w:rPr>
          <w:rFonts w:ascii="Times New Roman" w:hAnsi="Times New Roman" w:eastAsia="仿宋_GB2312" w:cs="Times New Roman"/>
          <w:sz w:val="32"/>
          <w:szCs w:val="32"/>
        </w:rPr>
        <w:t>因地制宜有序推进社区康复中心、护理中心、健康管理中心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标准化口腔诊室、</w:t>
      </w:r>
      <w:r>
        <w:rPr>
          <w:rFonts w:hint="eastAsia" w:ascii="Times New Roman" w:hAnsi="Times New Roman" w:eastAsia="仿宋_GB2312" w:cs="Times New Roman"/>
          <w:sz w:val="32"/>
          <w:szCs w:val="32"/>
        </w:rPr>
        <w:t>标准化社区卫生门诊手术室</w:t>
      </w:r>
      <w:r>
        <w:rPr>
          <w:rFonts w:ascii="Times New Roman" w:hAnsi="Times New Roman" w:eastAsia="仿宋_GB2312" w:cs="Times New Roman"/>
          <w:sz w:val="32"/>
          <w:szCs w:val="32"/>
        </w:rPr>
        <w:t>等建设。</w:t>
      </w:r>
      <w:r>
        <w:rPr>
          <w:rFonts w:hint="eastAsia" w:ascii="Times New Roman" w:hAnsi="Times New Roman" w:eastAsia="仿宋_GB2312" w:cs="Times New Roman"/>
          <w:sz w:val="32"/>
          <w:szCs w:val="32"/>
        </w:rPr>
        <w:t>持续强化社区卫生服务机构基本医疗、公共卫生、健康管理和康复护理服务“四大功能”，进一步优化社区卫生服务机构灵活服务、签约服务、联动服务和特色服务“四项服务”。</w:t>
      </w:r>
      <w:r>
        <w:rPr>
          <w:rFonts w:ascii="Times New Roman" w:hAnsi="Times New Roman" w:eastAsia="仿宋_GB2312" w:cs="Times New Roman"/>
          <w:sz w:val="32"/>
          <w:szCs w:val="32"/>
        </w:rPr>
        <w:t>积极推动社区基本诊疗病种增加</w:t>
      </w:r>
      <w:r>
        <w:rPr>
          <w:rFonts w:hint="eastAsia" w:ascii="Times New Roman" w:hAnsi="Times New Roman" w:eastAsia="仿宋_GB2312" w:cs="Times New Roman"/>
          <w:sz w:val="32"/>
          <w:szCs w:val="32"/>
        </w:rPr>
        <w:t>，推进</w:t>
      </w:r>
      <w:r>
        <w:rPr>
          <w:rFonts w:ascii="Times New Roman" w:hAnsi="Times New Roman" w:eastAsia="仿宋_GB2312" w:cs="Times New Roman"/>
          <w:sz w:val="32"/>
          <w:szCs w:val="32"/>
        </w:rPr>
        <w:t>基本医疗服务同质化</w:t>
      </w:r>
      <w:r>
        <w:rPr>
          <w:rFonts w:hint="eastAsia" w:ascii="Times New Roman" w:hAnsi="Times New Roman" w:eastAsia="仿宋_GB2312" w:cs="Times New Roman"/>
          <w:sz w:val="32"/>
          <w:szCs w:val="32"/>
        </w:rPr>
        <w:t>，优化社区</w:t>
      </w:r>
      <w:r>
        <w:rPr>
          <w:rFonts w:ascii="Times New Roman" w:hAnsi="Times New Roman" w:eastAsia="仿宋_GB2312" w:cs="Times New Roman"/>
          <w:sz w:val="32"/>
          <w:szCs w:val="32"/>
        </w:rPr>
        <w:t>住院</w:t>
      </w:r>
      <w:r>
        <w:rPr>
          <w:rFonts w:hint="eastAsia" w:ascii="Times New Roman" w:hAnsi="Times New Roman" w:eastAsia="仿宋_GB2312" w:cs="Times New Roman"/>
          <w:sz w:val="32"/>
          <w:szCs w:val="32"/>
        </w:rPr>
        <w:t>服务功能。有序推进社区专科建设，打造社区特色品牌专科体系，支持有条件的社区卫生服务中心建设社区医院。扩大家庭医生签约服务供给，拓展签约服务内涵，</w:t>
      </w:r>
      <w:r>
        <w:rPr>
          <w:rFonts w:ascii="Times New Roman" w:hAnsi="Times New Roman" w:eastAsia="仿宋_GB2312" w:cs="Times New Roman"/>
          <w:sz w:val="32"/>
          <w:szCs w:val="32"/>
        </w:rPr>
        <w:t>推动签约服务扩展至</w:t>
      </w:r>
      <w:r>
        <w:rPr>
          <w:rFonts w:hint="eastAsia" w:ascii="Times New Roman" w:hAnsi="Times New Roman" w:eastAsia="仿宋_GB2312" w:cs="Times New Roman"/>
          <w:sz w:val="32"/>
          <w:szCs w:val="32"/>
        </w:rPr>
        <w:t>产业园区、</w:t>
      </w:r>
      <w:r>
        <w:rPr>
          <w:rFonts w:ascii="Times New Roman" w:hAnsi="Times New Roman" w:eastAsia="仿宋_GB2312" w:cs="Times New Roman"/>
          <w:sz w:val="32"/>
          <w:szCs w:val="32"/>
        </w:rPr>
        <w:t>企业楼宇、养老机构、学校等功能社区</w:t>
      </w:r>
      <w:r>
        <w:rPr>
          <w:rFonts w:hint="eastAsia" w:ascii="Times New Roman" w:hAnsi="Times New Roman" w:eastAsia="仿宋_GB2312" w:cs="Times New Roman"/>
          <w:sz w:val="32"/>
          <w:szCs w:val="32"/>
        </w:rPr>
        <w:t>，稳步扩大签约服务覆盖面。到2030年，家庭医生签约服务覆盖率争取达到60%以上。</w:t>
      </w:r>
    </w:p>
    <w:p w14:paraId="53332360">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5.持续提升</w:t>
      </w:r>
      <w:r>
        <w:rPr>
          <w:rFonts w:ascii="Times New Roman" w:hAnsi="Times New Roman" w:eastAsia="仿宋_GB2312" w:cs="Times New Roman"/>
          <w:b/>
          <w:bCs/>
          <w:kern w:val="0"/>
          <w:sz w:val="32"/>
          <w:szCs w:val="32"/>
        </w:rPr>
        <w:t>中医药</w:t>
      </w:r>
      <w:r>
        <w:rPr>
          <w:rFonts w:ascii="Times New Roman" w:hAnsi="Times New Roman" w:eastAsia="仿宋_GB2312" w:cs="Times New Roman"/>
          <w:b/>
          <w:bCs/>
          <w:sz w:val="32"/>
          <w:szCs w:val="32"/>
        </w:rPr>
        <w:t>服务水平。</w:t>
      </w:r>
      <w:r>
        <w:rPr>
          <w:rFonts w:hint="eastAsia" w:ascii="Times New Roman" w:hAnsi="Times New Roman" w:eastAsia="仿宋_GB2312" w:cs="Times New Roman"/>
          <w:sz w:val="32"/>
          <w:szCs w:val="32"/>
        </w:rPr>
        <w:t>持续完善</w:t>
      </w:r>
      <w:r>
        <w:rPr>
          <w:rFonts w:ascii="Times New Roman" w:hAnsi="Times New Roman" w:eastAsia="仿宋_GB2312" w:cs="Times New Roman"/>
          <w:sz w:val="32"/>
          <w:szCs w:val="32"/>
        </w:rPr>
        <w:t>中医</w:t>
      </w:r>
      <w:r>
        <w:rPr>
          <w:rFonts w:hint="eastAsia" w:ascii="仿宋_GB2312" w:hAnsi="Times New Roman" w:eastAsia="仿宋_GB2312" w:cs="Times New Roman"/>
          <w:sz w:val="32"/>
          <w:szCs w:val="32"/>
        </w:rPr>
        <w:t>医</w:t>
      </w:r>
      <w:r>
        <w:rPr>
          <w:rFonts w:ascii="Times New Roman" w:hAnsi="Times New Roman" w:eastAsia="仿宋_GB2312" w:cs="Times New Roman"/>
          <w:sz w:val="32"/>
          <w:szCs w:val="32"/>
        </w:rPr>
        <w:t>联体</w:t>
      </w:r>
      <w:r>
        <w:rPr>
          <w:rFonts w:hint="eastAsia" w:ascii="Times New Roman" w:hAnsi="Times New Roman" w:eastAsia="仿宋_GB2312" w:cs="Times New Roman"/>
          <w:sz w:val="32"/>
          <w:szCs w:val="32"/>
        </w:rPr>
        <w:t>和“一区一品牌”重点专科</w:t>
      </w:r>
      <w:r>
        <w:rPr>
          <w:rStyle w:val="52"/>
          <w:rFonts w:hint="eastAsia" w:ascii="仿宋_GB2312" w:eastAsia="仿宋_GB2312"/>
          <w:sz w:val="32"/>
          <w:szCs w:val="32"/>
        </w:rPr>
        <w:t>（肛肠科、神志病科）建设，构建重大慢病中医药防治体系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依托迁建项目大力支持</w:t>
      </w:r>
      <w:r>
        <w:rPr>
          <w:rFonts w:ascii="Times New Roman" w:hAnsi="Times New Roman" w:eastAsia="仿宋_GB2312" w:cs="Times New Roman"/>
          <w:sz w:val="32"/>
          <w:szCs w:val="32"/>
        </w:rPr>
        <w:t>区中医医院</w:t>
      </w:r>
      <w:r>
        <w:rPr>
          <w:rFonts w:hint="eastAsia" w:ascii="Times New Roman" w:hAnsi="Times New Roman" w:eastAsia="仿宋_GB2312" w:cs="Times New Roman"/>
          <w:sz w:val="32"/>
          <w:szCs w:val="32"/>
        </w:rPr>
        <w:t>提档升级，持续深化与</w:t>
      </w:r>
      <w:r>
        <w:rPr>
          <w:rFonts w:ascii="Times New Roman" w:hAnsi="Times New Roman" w:eastAsia="仿宋_GB2312" w:cs="Times New Roman"/>
          <w:sz w:val="32"/>
          <w:szCs w:val="32"/>
        </w:rPr>
        <w:t>复旦大学中西医结合研究院、上海市中医医院合作</w:t>
      </w:r>
      <w:r>
        <w:rPr>
          <w:rFonts w:hint="eastAsia" w:ascii="Times New Roman" w:hAnsi="Times New Roman" w:eastAsia="仿宋_GB2312" w:cs="Times New Roman"/>
          <w:sz w:val="32"/>
          <w:szCs w:val="32"/>
        </w:rPr>
        <w:t>，引入上海中医药大学优质资源，</w:t>
      </w:r>
      <w:r>
        <w:rPr>
          <w:rFonts w:ascii="Times New Roman" w:hAnsi="Times New Roman" w:eastAsia="仿宋_GB2312" w:cs="Times New Roman"/>
          <w:sz w:val="32"/>
          <w:szCs w:val="32"/>
        </w:rPr>
        <w:t>重点建设中医肿瘤</w:t>
      </w:r>
      <w:r>
        <w:rPr>
          <w:rFonts w:hint="eastAsia" w:ascii="Times New Roman" w:hAnsi="Times New Roman" w:eastAsia="仿宋_GB2312" w:cs="Times New Roman"/>
          <w:sz w:val="32"/>
          <w:szCs w:val="32"/>
        </w:rPr>
        <w:t>、中医脑病、中医</w:t>
      </w:r>
      <w:r>
        <w:rPr>
          <w:rFonts w:ascii="Times New Roman" w:hAnsi="Times New Roman" w:eastAsia="仿宋_GB2312" w:cs="Times New Roman"/>
          <w:sz w:val="32"/>
          <w:szCs w:val="32"/>
        </w:rPr>
        <w:t>肺病、针灸等区重点学科，</w:t>
      </w:r>
      <w:r>
        <w:rPr>
          <w:rFonts w:hint="eastAsia" w:eastAsia="仿宋_GB2312"/>
          <w:sz w:val="32"/>
          <w:szCs w:val="32"/>
        </w:rPr>
        <w:t>培育</w:t>
      </w:r>
      <w:r>
        <w:rPr>
          <w:rFonts w:eastAsia="仿宋_GB2312"/>
          <w:sz w:val="32"/>
          <w:szCs w:val="32"/>
        </w:rPr>
        <w:t>建设一批特色优势专科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凸显</w:t>
      </w:r>
      <w:r>
        <w:rPr>
          <w:rFonts w:ascii="Times New Roman" w:hAnsi="Times New Roman" w:eastAsia="仿宋_GB2312" w:cs="Times New Roman"/>
          <w:sz w:val="32"/>
          <w:szCs w:val="32"/>
        </w:rPr>
        <w:t>中医药服务</w:t>
      </w:r>
      <w:r>
        <w:rPr>
          <w:rFonts w:hint="eastAsia" w:ascii="Times New Roman" w:hAnsi="Times New Roman" w:eastAsia="仿宋_GB2312" w:cs="Times New Roman"/>
          <w:sz w:val="32"/>
          <w:szCs w:val="32"/>
        </w:rPr>
        <w:t>社区</w:t>
      </w:r>
      <w:r>
        <w:rPr>
          <w:rFonts w:ascii="Times New Roman" w:hAnsi="Times New Roman" w:eastAsia="仿宋_GB2312" w:cs="Times New Roman"/>
          <w:sz w:val="32"/>
          <w:szCs w:val="32"/>
        </w:rPr>
        <w:t>主阵地</w:t>
      </w:r>
      <w:r>
        <w:rPr>
          <w:rFonts w:hint="eastAsia" w:ascii="Times New Roman" w:hAnsi="Times New Roman" w:eastAsia="仿宋_GB2312" w:cs="Times New Roman"/>
          <w:sz w:val="32"/>
          <w:szCs w:val="32"/>
        </w:rPr>
        <w:t>作用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持续推进社区卫生服务机构中医馆、中医阁能力达标建设，</w:t>
      </w:r>
      <w:r>
        <w:rPr>
          <w:rFonts w:ascii="Times New Roman" w:hAnsi="Times New Roman" w:eastAsia="仿宋_GB2312" w:cs="Times New Roman"/>
          <w:sz w:val="32"/>
          <w:szCs w:val="32"/>
        </w:rPr>
        <w:t>全面提升基层中医药服务能力，</w:t>
      </w:r>
      <w:r>
        <w:rPr>
          <w:rFonts w:hint="eastAsia" w:ascii="Times New Roman" w:hAnsi="Times New Roman" w:eastAsia="仿宋_GB2312" w:cs="Times New Roman"/>
          <w:sz w:val="32"/>
          <w:szCs w:val="32"/>
        </w:rPr>
        <w:t>扩大中医名医、名方、名技在社区卫生服务机构的应用，加强社区中医特色专病专科能力建设。提升区妇幼保健领域中医药服务能力，依托</w:t>
      </w:r>
      <w:r>
        <w:rPr>
          <w:rFonts w:ascii="Times New Roman" w:hAnsi="Times New Roman" w:eastAsia="仿宋_GB2312" w:cs="Times New Roman"/>
          <w:sz w:val="32"/>
          <w:szCs w:val="32"/>
        </w:rPr>
        <w:t>复旦大学附属妇产科医院中西医协同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旗舰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医院试点项目</w:t>
      </w:r>
      <w:r>
        <w:rPr>
          <w:rFonts w:hint="eastAsia" w:ascii="Times New Roman" w:hAnsi="Times New Roman" w:eastAsia="仿宋_GB2312" w:cs="Times New Roman"/>
          <w:sz w:val="32"/>
          <w:szCs w:val="32"/>
        </w:rPr>
        <w:t>，深化妇幼中医药健康服务提升行动，提升中医药在妇幼健康中的贡献度。</w:t>
      </w:r>
    </w:p>
    <w:p w14:paraId="6BA841B7">
      <w:pPr>
        <w:pStyle w:val="3"/>
        <w:spacing w:line="560" w:lineRule="exact"/>
      </w:pPr>
      <w:bookmarkStart w:id="82" w:name="_Toc3171"/>
      <w:r>
        <w:t>（</w:t>
      </w:r>
      <w:r>
        <w:rPr>
          <w:rFonts w:hint="eastAsia"/>
        </w:rPr>
        <w:t>三</w:t>
      </w:r>
      <w:r>
        <w:t>）固根基</w:t>
      </w:r>
      <w:r>
        <w:rPr>
          <w:rFonts w:hint="eastAsia"/>
        </w:rPr>
        <w:t>、</w:t>
      </w:r>
      <w:r>
        <w:t>升能级，打造与区域定位相匹配的韧性健康城</w:t>
      </w:r>
      <w:r>
        <w:rPr>
          <w:rFonts w:hint="eastAsia"/>
        </w:rPr>
        <w:t>区</w:t>
      </w:r>
      <w:bookmarkEnd w:id="82"/>
    </w:p>
    <w:p w14:paraId="67312B1B">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1.优化公共卫生应急管理体系。</w:t>
      </w:r>
      <w:r>
        <w:rPr>
          <w:rFonts w:hint="eastAsia" w:ascii="Times New Roman" w:hAnsi="Times New Roman" w:eastAsia="仿宋_GB2312" w:cs="Times New Roman"/>
          <w:sz w:val="32"/>
          <w:szCs w:val="32"/>
        </w:rPr>
        <w:t>进一步完善联防联控机制，提升多部门信息沟通、联合研判和协同处置效能，建立健全“统一指挥、专常兼备、反应灵敏、上下联动”的突发公共卫生事件应急指挥体系，夯实“平急结合”的物资保障体系。完善“平急两用”公共基础设施建设运营和快速转换机制。巩固深化“三公（工）一大”（公卫、公安、工信、数据）协同流行病学调查机制，进一步提升传染病疫情应急处置能级。深化多部门联合传染病疫情风险评估机制和结果应用。加强村（居）民委员会公共卫生委员会能力建设，强化社区层面公共卫生培训，培育公共卫生志愿者队伍，夯实群防群控基础。</w:t>
      </w:r>
    </w:p>
    <w:p w14:paraId="1C07416E">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2.提升公共卫生应急处置能力。</w:t>
      </w:r>
      <w:r>
        <w:rPr>
          <w:rFonts w:hint="eastAsia" w:ascii="Times New Roman" w:hAnsi="Times New Roman" w:eastAsia="仿宋_GB2312" w:cs="Times New Roman"/>
          <w:sz w:val="32"/>
          <w:szCs w:val="32"/>
        </w:rPr>
        <w:t>保障数智化传染病监测预警网络覆盖率，深入推进应急作业管理体系数智化建设，健全分级分类、高效实用的应急预案体系，推进预案数字化建设。加强社区公共卫生应急能力建设。深化区、社区两级传染病应急队伍标准化建设，重点建强反应迅速、专常兼备、精准高效、分级管理的流行病学调查、媒介控制、消毒等应急处置人才梯队，完善应急响应、跨区域支援、卫生应急物资装备管理等工作机制。构建传染病临床诊治网络体系，持续提升医疗机构传染病防治能力，做好传染病救治床位储备保障，强化救治资源统筹配置。建立“</w:t>
      </w:r>
      <w:r>
        <w:rPr>
          <w:rFonts w:ascii="Times New Roman" w:hAnsi="Times New Roman" w:eastAsia="仿宋_GB2312" w:cs="Times New Roman"/>
          <w:sz w:val="32"/>
          <w:szCs w:val="32"/>
        </w:rPr>
        <w:t>1+1+X</w:t>
      </w:r>
      <w:r>
        <w:rPr>
          <w:rFonts w:hint="eastAsia" w:ascii="Times New Roman" w:hAnsi="Times New Roman" w:eastAsia="仿宋_GB2312" w:cs="Times New Roman"/>
          <w:sz w:val="32"/>
          <w:szCs w:val="32"/>
        </w:rPr>
        <w:t>”传染病检验检测实验室网络，提升区疾病预防控制机构“一锤定音”的监测鉴定能力及体现区域特色和资源禀赋的检验检测能力。</w:t>
      </w:r>
    </w:p>
    <w:p w14:paraId="51B73400">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bookmarkStart w:id="83" w:name="OLE_LINK18"/>
      <w:r>
        <w:rPr>
          <w:rFonts w:hint="eastAsia" w:ascii="Times New Roman" w:hAnsi="Times New Roman" w:eastAsia="仿宋_GB2312" w:cs="Times New Roman"/>
          <w:b/>
          <w:bCs/>
          <w:sz w:val="32"/>
          <w:szCs w:val="32"/>
        </w:rPr>
        <w:t>3.完善疾病预防控制体系</w:t>
      </w:r>
      <w:bookmarkEnd w:id="83"/>
      <w:r>
        <w:rPr>
          <w:rFonts w:hint="eastAsia" w:ascii="Times New Roman" w:hAnsi="Times New Roman" w:eastAsia="仿宋_GB2312" w:cs="Times New Roman"/>
          <w:b/>
          <w:bCs/>
          <w:sz w:val="32"/>
          <w:szCs w:val="32"/>
        </w:rPr>
        <w:t>。</w:t>
      </w:r>
      <w:r>
        <w:rPr>
          <w:rFonts w:hint="eastAsia" w:ascii="Times New Roman" w:hAnsi="Times New Roman" w:eastAsia="仿宋_GB2312" w:cs="Times New Roman"/>
          <w:sz w:val="32"/>
          <w:szCs w:val="32"/>
        </w:rPr>
        <w:t>强化区疾控机构核心职能，支持建设市级区域支持中心和辐射长三角一体化示范区的区域性疾控机构。依托传染病防控医防协同医防融合国家试点城市建设，积极探索体制机制突破。加强医疗机构公共卫生科、社区卫生服务中心预防保健科室的规范化建设和内涵建设，完善医疗机构疾控监督员制度。推行重大慢性传染病“共筛共防共管”新模式，强化社区慢性传染病医防协同融合共管工作，推进社区医防融合门诊全覆盖。深化艾滋病社会综合治理和干预，全面推进无结核社区建设，推动实现终结艾滋病流行、终结结核病流行的目标。深入推进“智慧接种”建设，持续提升接种门诊标准化、规范化、温馨化、智慧化的服务能力，依托医防协同医防融合，精准拓展成人疫苗接种工作，推进适龄女生</w:t>
      </w:r>
      <w:r>
        <w:rPr>
          <w:rFonts w:ascii="Times New Roman" w:hAnsi="Times New Roman" w:eastAsia="仿宋_GB2312" w:cs="Times New Roman"/>
          <w:sz w:val="32"/>
          <w:szCs w:val="32"/>
        </w:rPr>
        <w:t>HPV</w:t>
      </w:r>
      <w:r>
        <w:rPr>
          <w:rFonts w:hint="eastAsia" w:ascii="Times New Roman" w:hAnsi="Times New Roman" w:eastAsia="仿宋_GB2312" w:cs="Times New Roman"/>
          <w:sz w:val="32"/>
          <w:szCs w:val="32"/>
        </w:rPr>
        <w:t>疫苗接种服务。扎实开展国家基本公共卫生服务。聚焦影响居民健康的心脑血管疾病、癌症、慢性呼吸系统疾病、糖尿病等重大疾病，加强早期筛查、早诊早治。开展以人为单位的慢性病风险综合评估和健康管理，持续优化高血压、糖尿病、慢阻肺和恶性肿瘤等重点慢性病的全程服务管理模式，推行多病共筛共防、共治共管。提升虫媒传染病、寄生虫病、地方病等防治能力，提升对环境健康等领域新现健康风险及其健康效应的识别、评估和干预能力。</w:t>
      </w:r>
    </w:p>
    <w:p w14:paraId="723A4063">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4</w:t>
      </w:r>
      <w:r>
        <w:rPr>
          <w:rFonts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rPr>
        <w:t>增强</w:t>
      </w:r>
      <w:r>
        <w:rPr>
          <w:rFonts w:ascii="Times New Roman" w:hAnsi="Times New Roman" w:eastAsia="仿宋_GB2312" w:cs="Times New Roman"/>
          <w:b/>
          <w:bCs/>
          <w:sz w:val="32"/>
          <w:szCs w:val="32"/>
        </w:rPr>
        <w:t>医疗卫生体系</w:t>
      </w:r>
      <w:r>
        <w:rPr>
          <w:rFonts w:hint="eastAsia" w:ascii="Times New Roman" w:hAnsi="Times New Roman" w:eastAsia="仿宋_GB2312" w:cs="Times New Roman"/>
          <w:b/>
          <w:bCs/>
          <w:sz w:val="32"/>
          <w:szCs w:val="32"/>
        </w:rPr>
        <w:t>韧性</w:t>
      </w:r>
      <w:r>
        <w:rPr>
          <w:rFonts w:ascii="Times New Roman" w:hAnsi="Times New Roman" w:eastAsia="仿宋_GB2312" w:cs="Times New Roman"/>
          <w:b/>
          <w:bCs/>
          <w:sz w:val="32"/>
          <w:szCs w:val="32"/>
        </w:rPr>
        <w:t>。</w:t>
      </w:r>
      <w:r>
        <w:rPr>
          <w:rFonts w:hint="eastAsia" w:eastAsia="仿宋_GB2312"/>
          <w:bCs/>
          <w:kern w:val="0"/>
          <w:sz w:val="32"/>
          <w:szCs w:val="32"/>
        </w:rPr>
        <w:t>围绕基础设施、装备物资、人才队伍、信息安全等，加强医疗卫生韧性建设。</w:t>
      </w:r>
      <w:r>
        <w:rPr>
          <w:rFonts w:ascii="Times New Roman" w:hAnsi="Times New Roman" w:eastAsia="仿宋_GB2312" w:cs="Times New Roman"/>
          <w:sz w:val="32"/>
          <w:szCs w:val="32"/>
        </w:rPr>
        <w:t>支持医院建设留有冗余度，建立地下空间等平急转换功能模块，增加转换空间设计。</w:t>
      </w:r>
      <w:r>
        <w:rPr>
          <w:rFonts w:hint="eastAsia" w:ascii="Times New Roman" w:hAnsi="Times New Roman" w:eastAsia="仿宋_GB2312" w:cs="Times New Roman"/>
          <w:sz w:val="32"/>
          <w:szCs w:val="32"/>
        </w:rPr>
        <w:t>持续强化紧急医学救援体系建设，提升</w:t>
      </w:r>
      <w:r>
        <w:rPr>
          <w:rFonts w:ascii="Times New Roman" w:hAnsi="Times New Roman" w:eastAsia="仿宋_GB2312" w:cs="Times New Roman"/>
          <w:sz w:val="32"/>
          <w:szCs w:val="32"/>
        </w:rPr>
        <w:t>公共卫生事件、战伤、群死群伤等不同风险场景</w:t>
      </w:r>
      <w:r>
        <w:rPr>
          <w:rFonts w:hint="eastAsia" w:ascii="Times New Roman" w:hAnsi="Times New Roman" w:eastAsia="仿宋_GB2312" w:cs="Times New Roman"/>
          <w:sz w:val="32"/>
          <w:szCs w:val="32"/>
        </w:rPr>
        <w:t>处置能力</w:t>
      </w:r>
      <w:r>
        <w:rPr>
          <w:rFonts w:ascii="Times New Roman" w:hAnsi="Times New Roman" w:eastAsia="仿宋_GB2312" w:cs="Times New Roman"/>
          <w:sz w:val="32"/>
          <w:szCs w:val="32"/>
        </w:rPr>
        <w:t>，确保极端情况下卫生健康系统运转不中断、不停摆。</w:t>
      </w:r>
    </w:p>
    <w:p w14:paraId="6DAF62F5">
      <w:pPr>
        <w:pStyle w:val="3"/>
        <w:spacing w:line="560" w:lineRule="exact"/>
      </w:pPr>
      <w:bookmarkStart w:id="84" w:name="_Toc14483"/>
      <w:r>
        <w:t>（</w:t>
      </w:r>
      <w:r>
        <w:rPr>
          <w:rFonts w:hint="eastAsia"/>
        </w:rPr>
        <w:t>四</w:t>
      </w:r>
      <w:r>
        <w:t>）</w:t>
      </w:r>
      <w:bookmarkStart w:id="85" w:name="OLE_LINK56"/>
      <w:r>
        <w:t>强联动</w:t>
      </w:r>
      <w:r>
        <w:rPr>
          <w:rFonts w:hint="eastAsia"/>
        </w:rPr>
        <w:t>、拓</w:t>
      </w:r>
      <w:r>
        <w:t>开放，服务支撑长三角一体化示范区高质量发展</w:t>
      </w:r>
      <w:bookmarkEnd w:id="84"/>
      <w:bookmarkEnd w:id="85"/>
    </w:p>
    <w:p w14:paraId="11E14A9A">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1.</w:t>
      </w:r>
      <w:r>
        <w:rPr>
          <w:rFonts w:hint="eastAsia" w:ascii="Times New Roman" w:hAnsi="Times New Roman" w:eastAsia="仿宋_GB2312" w:cs="Times New Roman"/>
          <w:b/>
          <w:bCs/>
          <w:sz w:val="32"/>
          <w:szCs w:val="32"/>
        </w:rPr>
        <w:t>健全示范区卫生健康合作机制</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rPr>
        <w:t>加强与市级卫生健康行政部门和长三角一体化示范区执委会等对接沟通，加强与吴江、嘉善</w:t>
      </w:r>
      <w:r>
        <w:rPr>
          <w:rFonts w:hint="eastAsia" w:ascii="Times New Roman" w:hAnsi="Times New Roman" w:eastAsia="仿宋_GB2312" w:cs="Times New Roman"/>
          <w:sz w:val="32"/>
          <w:szCs w:val="24"/>
        </w:rPr>
        <w:t>卫生健康领域协商议事</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积极推进</w:t>
      </w:r>
      <w:r>
        <w:rPr>
          <w:rFonts w:hint="eastAsia" w:ascii="Times New Roman" w:hAnsi="Times New Roman" w:eastAsia="仿宋_GB2312" w:cs="Times New Roman"/>
          <w:sz w:val="32"/>
          <w:szCs w:val="32"/>
        </w:rPr>
        <w:t>长三角示范区</w:t>
      </w:r>
      <w:r>
        <w:rPr>
          <w:rFonts w:ascii="Times New Roman" w:hAnsi="Times New Roman" w:eastAsia="仿宋_GB2312" w:cs="Times New Roman"/>
          <w:sz w:val="32"/>
          <w:szCs w:val="32"/>
        </w:rPr>
        <w:t>卫生健康</w:t>
      </w:r>
      <w:r>
        <w:rPr>
          <w:rFonts w:hint="eastAsia" w:ascii="Times New Roman" w:hAnsi="Times New Roman" w:eastAsia="仿宋_GB2312" w:cs="Times New Roman"/>
          <w:sz w:val="32"/>
          <w:szCs w:val="32"/>
        </w:rPr>
        <w:t>协同发展，促进卫生健康资源共享，持续巩固联防联控机制，有序推进卫生健康</w:t>
      </w:r>
      <w:r>
        <w:rPr>
          <w:rFonts w:ascii="Times New Roman" w:hAnsi="Times New Roman" w:eastAsia="仿宋_GB2312" w:cs="Times New Roman"/>
          <w:sz w:val="32"/>
          <w:szCs w:val="32"/>
        </w:rPr>
        <w:t>相关标准、政策</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制度一体化。</w:t>
      </w:r>
    </w:p>
    <w:p w14:paraId="50692C16">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2.积极开拓一体化试点项目。</w:t>
      </w:r>
      <w:r>
        <w:rPr>
          <w:rFonts w:hint="eastAsia" w:ascii="仿宋_GB2312" w:hAnsi="Arial" w:eastAsia="仿宋_GB2312" w:cs="Arial"/>
          <w:color w:val="000000"/>
          <w:sz w:val="32"/>
          <w:szCs w:val="32"/>
          <w:shd w:val="clear" w:color="auto" w:fill="FFFFFF"/>
        </w:rPr>
        <w:t>大力支持示范区妇产科、儿科、中医等医联体建设。</w:t>
      </w:r>
      <w:r>
        <w:rPr>
          <w:rFonts w:hint="eastAsia" w:ascii="Times New Roman" w:hAnsi="Times New Roman" w:eastAsia="仿宋_GB2312" w:cs="Times New Roman"/>
          <w:sz w:val="32"/>
          <w:szCs w:val="24"/>
        </w:rPr>
        <w:t>依托三省一市免疫规划信息平台，推广电子接种证应用，不断提升三省一市居民跨区域接种服务体验。稳步推进示范区建立统一的居民电子健康档案试点工作。</w:t>
      </w:r>
    </w:p>
    <w:p w14:paraId="05DE6F82">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3.促进</w:t>
      </w:r>
      <w:r>
        <w:rPr>
          <w:rFonts w:hint="eastAsia" w:ascii="Times New Roman" w:hAnsi="Times New Roman" w:eastAsia="仿宋_GB2312" w:cs="Times New Roman"/>
          <w:b/>
          <w:bCs/>
          <w:sz w:val="32"/>
          <w:szCs w:val="32"/>
        </w:rPr>
        <w:t>示范区科创和产业协同发展</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rPr>
        <w:t>支持示范区内医疗卫生机构、科研院所、生物医药企业、</w:t>
      </w:r>
      <w:bookmarkStart w:id="86" w:name="OLE_LINK38"/>
      <w:r>
        <w:rPr>
          <w:rFonts w:hint="eastAsia" w:ascii="Times New Roman" w:hAnsi="Times New Roman" w:eastAsia="仿宋_GB2312" w:cs="Times New Roman"/>
          <w:sz w:val="32"/>
          <w:szCs w:val="32"/>
        </w:rPr>
        <w:t>信息技术企业</w:t>
      </w:r>
      <w:bookmarkEnd w:id="86"/>
      <w:r>
        <w:rPr>
          <w:rFonts w:hint="eastAsia" w:ascii="Times New Roman" w:hAnsi="Times New Roman" w:eastAsia="仿宋_GB2312" w:cs="Times New Roman"/>
          <w:sz w:val="32"/>
          <w:szCs w:val="32"/>
        </w:rPr>
        <w:t>等加强跨区域跨领域科研合作，联合申报项目、建设平台，</w:t>
      </w:r>
      <w:r>
        <w:rPr>
          <w:rFonts w:hint="eastAsia" w:ascii="仿宋_GB2312" w:eastAsia="仿宋_GB2312"/>
          <w:sz w:val="32"/>
          <w:szCs w:val="32"/>
        </w:rPr>
        <w:t>深化产学研医全链条和一体化发展。</w:t>
      </w:r>
      <w:r>
        <w:rPr>
          <w:rFonts w:hint="eastAsia" w:ascii="仿宋_GB2312" w:hAnsi="仿宋_GB2312" w:eastAsia="仿宋_GB2312" w:cs="仿宋_GB2312"/>
          <w:sz w:val="32"/>
          <w:szCs w:val="32"/>
        </w:rPr>
        <w:t>推动创新资源开放共享，探索利益共享和跨区域协调机制，推进科技成果和技术转移转化。</w:t>
      </w:r>
    </w:p>
    <w:p w14:paraId="6854B9A0">
      <w:pPr>
        <w:pStyle w:val="3"/>
        <w:spacing w:line="560" w:lineRule="exact"/>
      </w:pPr>
      <w:bookmarkStart w:id="87" w:name="_Toc14042"/>
      <w:r>
        <w:t>（</w:t>
      </w:r>
      <w:r>
        <w:rPr>
          <w:rFonts w:hint="eastAsia"/>
        </w:rPr>
        <w:t>五</w:t>
      </w:r>
      <w:r>
        <w:t>）</w:t>
      </w:r>
      <w:r>
        <w:rPr>
          <w:rFonts w:hint="eastAsia"/>
        </w:rPr>
        <w:t>育人才、</w:t>
      </w:r>
      <w:r>
        <w:t>促创新，培育</w:t>
      </w:r>
      <w:r>
        <w:rPr>
          <w:rFonts w:hint="eastAsia"/>
        </w:rPr>
        <w:t>发展卫生健康</w:t>
      </w:r>
      <w:r>
        <w:t>新质生产力</w:t>
      </w:r>
      <w:bookmarkEnd w:id="87"/>
    </w:p>
    <w:p w14:paraId="62D9A713">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1.加快推进数</w:t>
      </w:r>
      <w:r>
        <w:rPr>
          <w:rFonts w:hint="eastAsia" w:ascii="Times New Roman" w:hAnsi="Times New Roman" w:eastAsia="仿宋_GB2312" w:cs="Times New Roman"/>
          <w:b/>
          <w:bCs/>
          <w:sz w:val="32"/>
          <w:szCs w:val="32"/>
        </w:rPr>
        <w:t>智</w:t>
      </w:r>
      <w:r>
        <w:rPr>
          <w:rFonts w:ascii="Times New Roman" w:hAnsi="Times New Roman" w:eastAsia="仿宋_GB2312" w:cs="Times New Roman"/>
          <w:b/>
          <w:bCs/>
          <w:sz w:val="32"/>
          <w:szCs w:val="32"/>
        </w:rPr>
        <w:t>健康</w:t>
      </w:r>
      <w:r>
        <w:rPr>
          <w:rFonts w:hint="eastAsia" w:ascii="Times New Roman" w:hAnsi="Times New Roman" w:eastAsia="仿宋_GB2312" w:cs="Times New Roman"/>
          <w:b/>
          <w:bCs/>
          <w:sz w:val="32"/>
          <w:szCs w:val="32"/>
        </w:rPr>
        <w:t>城区</w:t>
      </w:r>
      <w:r>
        <w:rPr>
          <w:rFonts w:ascii="Times New Roman" w:hAnsi="Times New Roman" w:eastAsia="仿宋_GB2312" w:cs="Times New Roman"/>
          <w:b/>
          <w:bCs/>
          <w:sz w:val="32"/>
          <w:szCs w:val="32"/>
        </w:rPr>
        <w:t>建设。</w:t>
      </w:r>
      <w:r>
        <w:rPr>
          <w:rFonts w:ascii="Times New Roman" w:hAnsi="Times New Roman" w:eastAsia="仿宋_GB2312" w:cs="Times New Roman"/>
          <w:sz w:val="32"/>
          <w:szCs w:val="32"/>
        </w:rPr>
        <w:t>加强区域卫生健康信息化基座建设，推进卫生健康大数据平台建设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深化数字健康城区建设，进一步推动卫生健康数</w:t>
      </w:r>
      <w:r>
        <w:rPr>
          <w:rFonts w:hint="eastAsia" w:ascii="Times New Roman" w:hAnsi="Times New Roman" w:eastAsia="仿宋_GB2312" w:cs="Times New Roman"/>
          <w:sz w:val="32"/>
          <w:szCs w:val="32"/>
        </w:rPr>
        <w:t>智</w:t>
      </w:r>
      <w:r>
        <w:rPr>
          <w:rFonts w:ascii="Times New Roman" w:hAnsi="Times New Roman" w:eastAsia="仿宋_GB2312" w:cs="Times New Roman"/>
          <w:sz w:val="32"/>
          <w:szCs w:val="32"/>
        </w:rPr>
        <w:t>化转型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推进卫生健康数据分级分类管理，</w:t>
      </w:r>
      <w:r>
        <w:rPr>
          <w:rFonts w:hint="eastAsia" w:ascii="Times New Roman" w:hAnsi="Times New Roman" w:eastAsia="仿宋_GB2312" w:cs="Times New Roman"/>
          <w:sz w:val="32"/>
          <w:szCs w:val="32"/>
        </w:rPr>
        <w:t>积极推进数据要素合规高效、安全有序互联互通，探索数据开放共享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完善数字公共卫生体系，推进</w:t>
      </w:r>
      <w:r>
        <w:rPr>
          <w:rFonts w:ascii="Times New Roman" w:hAnsi="Times New Roman" w:eastAsia="仿宋_GB2312" w:cs="Times New Roman"/>
          <w:sz w:val="32"/>
          <w:szCs w:val="32"/>
        </w:rPr>
        <w:t>数</w:t>
      </w:r>
      <w:r>
        <w:rPr>
          <w:rFonts w:hint="eastAsia" w:ascii="Times New Roman" w:hAnsi="Times New Roman" w:eastAsia="仿宋_GB2312" w:cs="Times New Roman"/>
          <w:sz w:val="32"/>
          <w:szCs w:val="32"/>
        </w:rPr>
        <w:t>智</w:t>
      </w:r>
      <w:r>
        <w:rPr>
          <w:rFonts w:ascii="Times New Roman" w:hAnsi="Times New Roman" w:eastAsia="仿宋_GB2312" w:cs="Times New Roman"/>
          <w:sz w:val="32"/>
          <w:szCs w:val="32"/>
        </w:rPr>
        <w:t>社区卫生服务建设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加强紧密型城市医疗集团信息管理一体化建设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打造以患者为中心的未来医院</w:t>
      </w:r>
      <w:r>
        <w:rPr>
          <w:rFonts w:hint="eastAsia" w:ascii="Times New Roman" w:hAnsi="Times New Roman" w:eastAsia="仿宋_GB2312" w:cs="Times New Roman"/>
          <w:sz w:val="32"/>
          <w:szCs w:val="32"/>
        </w:rPr>
        <w:t>。积极参与高质量数据集与语料库建设，</w:t>
      </w:r>
      <w:r>
        <w:rPr>
          <w:rFonts w:ascii="Times New Roman" w:hAnsi="Times New Roman" w:eastAsia="仿宋_GB2312" w:cs="Times New Roman"/>
          <w:sz w:val="32"/>
          <w:szCs w:val="32"/>
        </w:rPr>
        <w:t>推动大数据、</w:t>
      </w:r>
      <w:r>
        <w:rPr>
          <w:rFonts w:hint="eastAsia" w:ascii="Times New Roman" w:hAnsi="Times New Roman" w:eastAsia="仿宋_GB2312" w:cs="Times New Roman"/>
          <w:sz w:val="32"/>
          <w:szCs w:val="32"/>
        </w:rPr>
        <w:t>大模型、人工智能</w:t>
      </w:r>
      <w:r>
        <w:rPr>
          <w:rFonts w:ascii="Times New Roman" w:hAnsi="Times New Roman" w:eastAsia="仿宋_GB2312" w:cs="Times New Roman"/>
          <w:sz w:val="32"/>
          <w:szCs w:val="32"/>
        </w:rPr>
        <w:t>等信息</w:t>
      </w:r>
      <w:r>
        <w:rPr>
          <w:rFonts w:hint="eastAsia" w:ascii="Times New Roman" w:hAnsi="Times New Roman" w:eastAsia="仿宋_GB2312" w:cs="Times New Roman"/>
          <w:sz w:val="32"/>
          <w:szCs w:val="32"/>
        </w:rPr>
        <w:t>数智</w:t>
      </w:r>
      <w:r>
        <w:rPr>
          <w:rFonts w:ascii="Times New Roman" w:hAnsi="Times New Roman" w:eastAsia="仿宋_GB2312" w:cs="Times New Roman"/>
          <w:sz w:val="32"/>
          <w:szCs w:val="32"/>
        </w:rPr>
        <w:t>技术在卫生健康领域深度应用，</w:t>
      </w:r>
      <w:r>
        <w:rPr>
          <w:rFonts w:hint="eastAsia" w:ascii="Times New Roman" w:hAnsi="Times New Roman" w:eastAsia="仿宋_GB2312" w:cs="Times New Roman"/>
          <w:sz w:val="32"/>
          <w:szCs w:val="32"/>
        </w:rPr>
        <w:t>扩大“人工智能+卫生健康”应用场景覆盖，</w:t>
      </w:r>
      <w:r>
        <w:rPr>
          <w:rFonts w:ascii="Times New Roman" w:hAnsi="Times New Roman" w:eastAsia="仿宋_GB2312" w:cs="Times New Roman"/>
          <w:sz w:val="32"/>
          <w:szCs w:val="32"/>
        </w:rPr>
        <w:t>重塑医疗卫生服务体系。</w:t>
      </w:r>
      <w:r>
        <w:rPr>
          <w:rFonts w:hint="eastAsia" w:ascii="Times New Roman" w:hAnsi="Times New Roman" w:eastAsia="仿宋_GB2312" w:cs="Times New Roman"/>
          <w:sz w:val="32"/>
          <w:szCs w:val="32"/>
        </w:rPr>
        <w:t>充分激活互联网医院功能，加强朱家角人民医院升级互联网诊疗平台，</w:t>
      </w:r>
      <w:r>
        <w:rPr>
          <w:rFonts w:ascii="Times New Roman" w:hAnsi="Times New Roman" w:eastAsia="仿宋_GB2312" w:cs="Times New Roman"/>
          <w:sz w:val="32"/>
          <w:szCs w:val="32"/>
        </w:rPr>
        <w:t>推动向居民开放电子健康档案首页信息为基础的健康评估报告。</w:t>
      </w:r>
    </w:p>
    <w:p w14:paraId="3028AD92">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2.加强学科建设和人才队伍培养。</w:t>
      </w:r>
      <w:r>
        <w:rPr>
          <w:rFonts w:hint="eastAsia" w:ascii="Times New Roman" w:hAnsi="Times New Roman" w:eastAsia="仿宋_GB2312" w:cs="Times New Roman"/>
          <w:sz w:val="32"/>
          <w:szCs w:val="32"/>
        </w:rPr>
        <w:t>积极推进</w:t>
      </w: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轮学科建设和人才培养计划</w:t>
      </w:r>
      <w:r>
        <w:rPr>
          <w:rFonts w:hint="eastAsia" w:ascii="Times New Roman" w:hAnsi="Times New Roman" w:eastAsia="仿宋_GB2312" w:cs="Times New Roman"/>
          <w:sz w:val="32"/>
          <w:szCs w:val="32"/>
        </w:rPr>
        <w:t>，注重医疗、公共卫生、中医药和卫生管理人才的全方位培养。加快中医药、精神医学、急救、医学影像、麻醉学、康复、护理等紧缺专业人才引进。建立高端人才“一事一议”引进机制，设立专项基金柔性引进高层次人才、选派骨干出国研修。与区内市级医院在学科建设、人才培养等方面开展深度合作，加强科室共建、联合培养、项目合作，</w:t>
      </w:r>
      <w:r>
        <w:rPr>
          <w:rFonts w:hint="eastAsia" w:ascii="仿宋_GB2312" w:hAnsi="仿宋_GB2312" w:eastAsia="仿宋_GB2312" w:cs="仿宋_GB2312"/>
          <w:sz w:val="32"/>
          <w:szCs w:val="32"/>
        </w:rPr>
        <w:t>建立“师带徒”、进修培训等机制，加强住院医师规范化培训和岗位练兵，持续提升医务人员专业能力，</w:t>
      </w:r>
      <w:r>
        <w:rPr>
          <w:rFonts w:ascii="Times New Roman" w:hAnsi="Times New Roman" w:eastAsia="仿宋_GB2312" w:cs="Times New Roman"/>
          <w:sz w:val="32"/>
          <w:szCs w:val="32"/>
        </w:rPr>
        <w:t>力争培育若干在全市同级医院中处于领先地位的优势学科。加大加深上级医院对</w:t>
      </w:r>
      <w:r>
        <w:rPr>
          <w:rFonts w:hint="eastAsia" w:ascii="Times New Roman" w:hAnsi="Times New Roman" w:eastAsia="仿宋_GB2312" w:cs="Times New Roman"/>
          <w:sz w:val="32"/>
          <w:szCs w:val="32"/>
        </w:rPr>
        <w:t>社区</w:t>
      </w:r>
      <w:r>
        <w:rPr>
          <w:rFonts w:ascii="Times New Roman" w:hAnsi="Times New Roman" w:eastAsia="仿宋_GB2312" w:cs="Times New Roman"/>
          <w:sz w:val="32"/>
          <w:szCs w:val="32"/>
        </w:rPr>
        <w:t>卫生</w:t>
      </w:r>
      <w:r>
        <w:rPr>
          <w:rFonts w:hint="eastAsia" w:ascii="Times New Roman" w:hAnsi="Times New Roman" w:eastAsia="仿宋_GB2312" w:cs="Times New Roman"/>
          <w:sz w:val="32"/>
          <w:szCs w:val="32"/>
        </w:rPr>
        <w:t>服务</w:t>
      </w:r>
      <w:r>
        <w:rPr>
          <w:rFonts w:ascii="Times New Roman" w:hAnsi="Times New Roman" w:eastAsia="仿宋_GB2312" w:cs="Times New Roman"/>
          <w:sz w:val="32"/>
          <w:szCs w:val="32"/>
        </w:rPr>
        <w:t>机构的指导，全面提升基层医疗卫生人才培养和科室建设</w:t>
      </w:r>
      <w:r>
        <w:rPr>
          <w:rFonts w:hint="eastAsia" w:ascii="Times New Roman" w:hAnsi="Times New Roman" w:eastAsia="仿宋_GB2312" w:cs="Times New Roman"/>
          <w:sz w:val="32"/>
          <w:szCs w:val="32"/>
        </w:rPr>
        <w:t>，推进全科医生专科化能力提升，建立全科与专科医生双向流动机制</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优化乡村医疗人才队伍结构、</w:t>
      </w:r>
      <w:bookmarkStart w:id="88" w:name="OLE_LINK42"/>
      <w:r>
        <w:rPr>
          <w:rFonts w:hint="eastAsia" w:ascii="Times New Roman" w:hAnsi="Times New Roman" w:eastAsia="仿宋_GB2312" w:cs="Times New Roman"/>
          <w:sz w:val="32"/>
          <w:szCs w:val="32"/>
        </w:rPr>
        <w:t>完善引育体系</w:t>
      </w:r>
      <w:bookmarkEnd w:id="88"/>
      <w:r>
        <w:rPr>
          <w:rFonts w:ascii="Times New Roman" w:hAnsi="Times New Roman" w:eastAsia="仿宋_GB2312" w:cs="Times New Roman"/>
          <w:sz w:val="32"/>
          <w:szCs w:val="32"/>
        </w:rPr>
        <w:t>。加强</w:t>
      </w:r>
      <w:r>
        <w:rPr>
          <w:rFonts w:hint="eastAsia" w:ascii="Times New Roman" w:hAnsi="Times New Roman" w:eastAsia="仿宋_GB2312" w:cs="Times New Roman"/>
          <w:sz w:val="32"/>
          <w:szCs w:val="32"/>
        </w:rPr>
        <w:t>朱家角人民医院、区疾控中心、</w:t>
      </w:r>
      <w:r>
        <w:rPr>
          <w:rFonts w:ascii="Times New Roman" w:hAnsi="Times New Roman" w:eastAsia="仿宋_GB2312" w:cs="Times New Roman"/>
          <w:sz w:val="32"/>
          <w:szCs w:val="32"/>
        </w:rPr>
        <w:t>社区卫生服务中心</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上海健康医学院战略合作</w:t>
      </w:r>
      <w:r>
        <w:rPr>
          <w:rFonts w:hint="eastAsia" w:ascii="Times New Roman" w:hAnsi="Times New Roman" w:eastAsia="仿宋_GB2312" w:cs="Times New Roman"/>
          <w:sz w:val="32"/>
          <w:szCs w:val="32"/>
        </w:rPr>
        <w:t>，加强学科和人才队伍建设。促进公共卫生学科建设，建设市或区级公共卫生重点学科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打造精业务、善管理的干部队伍，</w:t>
      </w:r>
      <w:r>
        <w:rPr>
          <w:rFonts w:hint="eastAsia" w:ascii="仿宋_GB2312" w:hAnsi="仿宋_GB2312" w:eastAsia="仿宋_GB2312" w:cs="仿宋_GB2312"/>
          <w:sz w:val="32"/>
          <w:szCs w:val="32"/>
        </w:rPr>
        <w:t>树立先进典型，发挥榜样引领作用。</w:t>
      </w:r>
    </w:p>
    <w:p w14:paraId="6EC66AFF">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3.支持高水平临床研究和转化。</w:t>
      </w:r>
      <w:r>
        <w:rPr>
          <w:rFonts w:hint="eastAsia" w:ascii="Times New Roman" w:hAnsi="Times New Roman" w:eastAsia="仿宋_GB2312" w:cs="Times New Roman"/>
          <w:sz w:val="32"/>
          <w:szCs w:val="32"/>
        </w:rPr>
        <w:t>支持区内市级医院加强实验室、生物样本库、研究型病房、研究型学科等临床研究和科技创新相关资源布局，推动区内市级医院协同带动区级</w:t>
      </w:r>
      <w:bookmarkStart w:id="89" w:name="OLE_LINK66"/>
      <w:r>
        <w:rPr>
          <w:rFonts w:hint="eastAsia" w:ascii="Times New Roman" w:hAnsi="Times New Roman" w:eastAsia="仿宋_GB2312" w:cs="Times New Roman"/>
          <w:sz w:val="32"/>
          <w:szCs w:val="32"/>
        </w:rPr>
        <w:t>医疗卫生机构</w:t>
      </w:r>
      <w:bookmarkEnd w:id="89"/>
      <w:r>
        <w:rPr>
          <w:rFonts w:hint="eastAsia" w:ascii="Times New Roman" w:hAnsi="Times New Roman" w:eastAsia="仿宋_GB2312" w:cs="Times New Roman"/>
          <w:sz w:val="32"/>
          <w:szCs w:val="32"/>
        </w:rPr>
        <w:t>大力提升研究能力，支持建设</w:t>
      </w:r>
      <w:r>
        <w:rPr>
          <w:rFonts w:ascii="Times New Roman" w:hAnsi="Times New Roman" w:eastAsia="仿宋_GB2312" w:cs="Times New Roman"/>
          <w:sz w:val="32"/>
          <w:szCs w:val="32"/>
        </w:rPr>
        <w:t>由市级医院</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区级</w:t>
      </w:r>
      <w:r>
        <w:rPr>
          <w:rFonts w:hint="eastAsia" w:ascii="Times New Roman" w:hAnsi="Times New Roman" w:eastAsia="仿宋_GB2312" w:cs="Times New Roman"/>
          <w:sz w:val="32"/>
          <w:szCs w:val="32"/>
        </w:rPr>
        <w:t>医疗卫生机构</w:t>
      </w:r>
      <w:r>
        <w:rPr>
          <w:rFonts w:ascii="Times New Roman" w:hAnsi="Times New Roman" w:eastAsia="仿宋_GB2312" w:cs="Times New Roman"/>
          <w:sz w:val="32"/>
          <w:szCs w:val="32"/>
        </w:rPr>
        <w:t>共同</w:t>
      </w:r>
      <w:r>
        <w:rPr>
          <w:rFonts w:hint="eastAsia" w:ascii="Times New Roman" w:hAnsi="Times New Roman" w:eastAsia="仿宋_GB2312" w:cs="Times New Roman"/>
          <w:sz w:val="32"/>
          <w:szCs w:val="32"/>
        </w:rPr>
        <w:t>组成</w:t>
      </w:r>
      <w:r>
        <w:rPr>
          <w:rFonts w:ascii="Times New Roman" w:hAnsi="Times New Roman" w:eastAsia="仿宋_GB2312" w:cs="Times New Roman"/>
          <w:sz w:val="32"/>
          <w:szCs w:val="32"/>
        </w:rPr>
        <w:t>的临床研究网络，</w:t>
      </w:r>
      <w:r>
        <w:rPr>
          <w:rFonts w:hint="eastAsia" w:ascii="Times New Roman" w:hAnsi="Times New Roman" w:eastAsia="仿宋_GB2312" w:cs="Times New Roman"/>
          <w:sz w:val="32"/>
          <w:szCs w:val="32"/>
        </w:rPr>
        <w:t>打造</w:t>
      </w:r>
      <w:r>
        <w:rPr>
          <w:rFonts w:ascii="Times New Roman" w:hAnsi="Times New Roman" w:eastAsia="仿宋_GB2312" w:cs="Times New Roman"/>
          <w:sz w:val="32"/>
          <w:szCs w:val="32"/>
        </w:rPr>
        <w:t>临床研究郊区示范，并向一体化示范区辐射、延伸。积极参与全市自然人群、专病人群队列建设</w:t>
      </w:r>
      <w:r>
        <w:rPr>
          <w:rFonts w:hint="eastAsia" w:ascii="Times New Roman" w:hAnsi="Times New Roman" w:eastAsia="仿宋_GB2312" w:cs="Times New Roman"/>
          <w:sz w:val="32"/>
          <w:szCs w:val="32"/>
        </w:rPr>
        <w:t>，参与全市高水平、高质量临床研究和转化。支持</w:t>
      </w:r>
      <w:bookmarkStart w:id="90" w:name="OLE_LINK65"/>
      <w:r>
        <w:rPr>
          <w:rFonts w:hint="eastAsia" w:ascii="Times New Roman" w:hAnsi="Times New Roman" w:eastAsia="仿宋_GB2312" w:cs="Times New Roman"/>
          <w:bCs/>
          <w:sz w:val="32"/>
          <w:szCs w:val="32"/>
          <w14:ligatures w14:val="standardContextual"/>
        </w:rPr>
        <w:t>复旦大学附属中山医院国家医学中心青浦新城院区医学科技创新和转化，</w:t>
      </w:r>
      <w:bookmarkEnd w:id="90"/>
      <w:r>
        <w:rPr>
          <w:rFonts w:hint="eastAsia" w:ascii="仿宋_GB2312" w:hAnsi="Times New Roman" w:eastAsia="仿宋_GB2312" w:cs="Times New Roman"/>
          <w:sz w:val="32"/>
          <w:szCs w:val="32"/>
        </w:rPr>
        <w:t>促进临床新技术、新药械在青浦优先应用与示范。</w:t>
      </w:r>
      <w:r>
        <w:rPr>
          <w:rFonts w:hint="eastAsia" w:ascii="Times New Roman" w:hAnsi="Times New Roman" w:eastAsia="仿宋_GB2312" w:cs="Times New Roman"/>
          <w:sz w:val="32"/>
          <w:szCs w:val="32"/>
        </w:rPr>
        <w:t>支持区内医疗卫生机构与</w:t>
      </w:r>
      <w:r>
        <w:rPr>
          <w:rFonts w:ascii="Times New Roman" w:hAnsi="Times New Roman" w:eastAsia="仿宋_GB2312" w:cs="Times New Roman"/>
          <w:sz w:val="32"/>
          <w:szCs w:val="32"/>
        </w:rPr>
        <w:t>西岑科创中心、青浦复旦国际创新融合中心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华为</w:t>
      </w:r>
      <w:r>
        <w:rPr>
          <w:rFonts w:hint="eastAsia" w:ascii="Times New Roman" w:hAnsi="Times New Roman" w:eastAsia="仿宋_GB2312" w:cs="Times New Roman"/>
          <w:sz w:val="32"/>
          <w:szCs w:val="32"/>
        </w:rPr>
        <w:t>等科创和产业资源对接，</w:t>
      </w:r>
      <w:r>
        <w:rPr>
          <w:rFonts w:ascii="Times New Roman" w:hAnsi="Times New Roman" w:eastAsia="仿宋_GB2312" w:cs="Times New Roman"/>
          <w:sz w:val="32"/>
          <w:szCs w:val="32"/>
        </w:rPr>
        <w:t>加强医企协作、医产融合</w:t>
      </w:r>
      <w:r>
        <w:rPr>
          <w:rFonts w:hint="eastAsia" w:ascii="Times New Roman" w:hAnsi="Times New Roman" w:eastAsia="仿宋_GB2312" w:cs="Times New Roman"/>
          <w:sz w:val="32"/>
          <w:szCs w:val="32"/>
        </w:rPr>
        <w:t>发展。</w:t>
      </w:r>
    </w:p>
    <w:p w14:paraId="2F053D83">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4</w:t>
      </w:r>
      <w:r>
        <w:rPr>
          <w:rFonts w:ascii="Times New Roman" w:hAnsi="Times New Roman" w:eastAsia="仿宋_GB2312" w:cs="Times New Roman"/>
          <w:b/>
          <w:bCs/>
          <w:sz w:val="32"/>
          <w:szCs w:val="32"/>
        </w:rPr>
        <w:t>.培育发展特色医疗健康服务。</w:t>
      </w:r>
      <w:r>
        <w:rPr>
          <w:rFonts w:hint="eastAsia" w:ascii="Times New Roman" w:hAnsi="Times New Roman" w:eastAsia="仿宋_GB2312" w:cs="Times New Roman"/>
          <w:sz w:val="32"/>
          <w:szCs w:val="32"/>
        </w:rPr>
        <w:t>做强区中医医院，依托本土中药企业，推动中医药事业和产业协同发展。依托区内高水平公立医院和社会办医疗机构，加强</w:t>
      </w:r>
      <w:r>
        <w:rPr>
          <w:rFonts w:ascii="Times New Roman" w:hAnsi="Times New Roman" w:eastAsia="仿宋_GB2312" w:cs="Times New Roman"/>
          <w:sz w:val="32"/>
          <w:szCs w:val="32"/>
        </w:rPr>
        <w:t>多层次、多样化健康服务</w:t>
      </w:r>
      <w:r>
        <w:rPr>
          <w:rFonts w:hint="eastAsia" w:ascii="Times New Roman" w:hAnsi="Times New Roman" w:eastAsia="仿宋_GB2312" w:cs="Times New Roman"/>
          <w:sz w:val="32"/>
          <w:szCs w:val="32"/>
        </w:rPr>
        <w:t>供给</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加强</w:t>
      </w:r>
      <w:r>
        <w:rPr>
          <w:rFonts w:ascii="Times New Roman" w:hAnsi="Times New Roman" w:eastAsia="仿宋_GB2312" w:cs="Times New Roman"/>
          <w:sz w:val="32"/>
          <w:szCs w:val="32"/>
        </w:rPr>
        <w:t>区</w:t>
      </w:r>
      <w:r>
        <w:rPr>
          <w:rFonts w:hint="eastAsia" w:ascii="Times New Roman" w:hAnsi="Times New Roman" w:eastAsia="仿宋_GB2312" w:cs="Times New Roman"/>
          <w:sz w:val="32"/>
          <w:szCs w:val="32"/>
        </w:rPr>
        <w:t>内</w:t>
      </w:r>
      <w:r>
        <w:rPr>
          <w:rFonts w:ascii="Times New Roman" w:hAnsi="Times New Roman" w:eastAsia="仿宋_GB2312" w:cs="Times New Roman"/>
          <w:sz w:val="32"/>
          <w:szCs w:val="32"/>
        </w:rPr>
        <w:t>医院特色康复专科</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，依托区域内生态、旅游、体育等资源，</w:t>
      </w:r>
      <w:r>
        <w:rPr>
          <w:rFonts w:hint="eastAsia" w:ascii="Times New Roman" w:hAnsi="Times New Roman" w:eastAsia="仿宋_GB2312" w:cs="Times New Roman"/>
          <w:sz w:val="32"/>
          <w:szCs w:val="32"/>
        </w:rPr>
        <w:t>探索</w:t>
      </w:r>
      <w:r>
        <w:rPr>
          <w:rFonts w:ascii="Times New Roman" w:hAnsi="Times New Roman" w:eastAsia="仿宋_GB2312" w:cs="Times New Roman"/>
          <w:sz w:val="32"/>
          <w:szCs w:val="32"/>
        </w:rPr>
        <w:t>建设环淀山湖区域</w:t>
      </w:r>
      <w:r>
        <w:rPr>
          <w:rFonts w:hint="eastAsia" w:ascii="Times New Roman" w:hAnsi="Times New Roman" w:eastAsia="仿宋_GB2312" w:cs="Times New Roman"/>
          <w:sz w:val="32"/>
          <w:szCs w:val="32"/>
        </w:rPr>
        <w:t>康</w:t>
      </w:r>
      <w:r>
        <w:rPr>
          <w:rFonts w:ascii="Times New Roman" w:hAnsi="Times New Roman" w:eastAsia="仿宋_GB2312" w:cs="Times New Roman"/>
          <w:sz w:val="32"/>
          <w:szCs w:val="32"/>
        </w:rPr>
        <w:t>养集聚带。充分发挥国家会展中心、</w:t>
      </w:r>
      <w:r>
        <w:rPr>
          <w:rFonts w:hint="eastAsia" w:ascii="Times New Roman" w:hAnsi="Times New Roman" w:eastAsia="仿宋_GB2312" w:cs="Times New Roman"/>
          <w:sz w:val="32"/>
          <w:szCs w:val="32"/>
        </w:rPr>
        <w:t>方厅水院</w:t>
      </w:r>
      <w:r>
        <w:rPr>
          <w:rFonts w:ascii="Times New Roman" w:hAnsi="Times New Roman" w:eastAsia="仿宋_GB2312" w:cs="Times New Roman"/>
          <w:sz w:val="32"/>
          <w:szCs w:val="32"/>
        </w:rPr>
        <w:t>、国家医学中心等重大平台优势，支持举办卫生健康博览会、论坛、研讨会等，打造卫生健康</w:t>
      </w:r>
      <w:r>
        <w:rPr>
          <w:rFonts w:hint="eastAsia" w:ascii="Times New Roman" w:hAnsi="Times New Roman" w:eastAsia="仿宋_GB2312" w:cs="Times New Roman"/>
          <w:sz w:val="32"/>
          <w:szCs w:val="32"/>
        </w:rPr>
        <w:t>交流展示</w:t>
      </w:r>
      <w:r>
        <w:rPr>
          <w:rFonts w:ascii="Times New Roman" w:hAnsi="Times New Roman" w:eastAsia="仿宋_GB2312" w:cs="Times New Roman"/>
          <w:sz w:val="32"/>
          <w:szCs w:val="32"/>
        </w:rPr>
        <w:t>重要平台。</w:t>
      </w:r>
    </w:p>
    <w:p w14:paraId="40CFB85D">
      <w:pPr>
        <w:pStyle w:val="3"/>
        <w:spacing w:line="560" w:lineRule="exact"/>
      </w:pPr>
      <w:bookmarkStart w:id="91" w:name="_Toc12979"/>
      <w:r>
        <w:t>（</w:t>
      </w:r>
      <w:r>
        <w:rPr>
          <w:rFonts w:hint="eastAsia"/>
        </w:rPr>
        <w:t>六</w:t>
      </w:r>
      <w:r>
        <w:t>）优机制</w:t>
      </w:r>
      <w:r>
        <w:rPr>
          <w:rFonts w:hint="eastAsia"/>
        </w:rPr>
        <w:t>、精管理</w:t>
      </w:r>
      <w:r>
        <w:t>，完善卫生健康</w:t>
      </w:r>
      <w:r>
        <w:rPr>
          <w:rFonts w:hint="eastAsia"/>
        </w:rPr>
        <w:t>高效能</w:t>
      </w:r>
      <w:r>
        <w:t>治理体系</w:t>
      </w:r>
      <w:bookmarkEnd w:id="91"/>
    </w:p>
    <w:p w14:paraId="5056B8BA">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kern w:val="0"/>
          <w:sz w:val="32"/>
          <w:szCs w:val="32"/>
        </w:rPr>
      </w:pPr>
      <w:r>
        <w:rPr>
          <w:rFonts w:ascii="Times New Roman" w:hAnsi="Times New Roman" w:eastAsia="仿宋_GB2312" w:cs="Times New Roman"/>
          <w:b/>
          <w:bCs/>
          <w:sz w:val="32"/>
          <w:szCs w:val="32"/>
        </w:rPr>
        <w:t>1.促进医疗、医保、医药协同发展</w:t>
      </w:r>
      <w:r>
        <w:rPr>
          <w:rFonts w:hint="eastAsia" w:ascii="Times New Roman" w:hAnsi="Times New Roman" w:eastAsia="仿宋_GB2312" w:cs="Times New Roman"/>
          <w:b/>
          <w:bCs/>
          <w:sz w:val="32"/>
          <w:szCs w:val="32"/>
        </w:rPr>
        <w:t>和治理</w:t>
      </w:r>
      <w:r>
        <w:rPr>
          <w:rFonts w:ascii="Times New Roman" w:hAnsi="Times New Roman" w:eastAsia="仿宋_GB2312" w:cs="Times New Roman"/>
          <w:b/>
          <w:bCs/>
          <w:sz w:val="32"/>
          <w:szCs w:val="32"/>
        </w:rPr>
        <w:t>。</w:t>
      </w:r>
      <w:r>
        <w:rPr>
          <w:rFonts w:hint="eastAsia" w:eastAsia="仿宋_GB2312"/>
          <w:kern w:val="0"/>
          <w:sz w:val="32"/>
          <w:szCs w:val="32"/>
        </w:rPr>
        <w:t>完善医疗卫生行业综合监管制度，健全卫生、医保、市场监管、公安等联合监管机制。</w:t>
      </w:r>
      <w:r>
        <w:rPr>
          <w:rFonts w:eastAsia="仿宋_GB2312"/>
          <w:kern w:val="0"/>
          <w:sz w:val="32"/>
          <w:szCs w:val="32"/>
        </w:rPr>
        <w:t>持续完善医保总额预算管理，用好医院协商协调机制</w:t>
      </w:r>
      <w:r>
        <w:rPr>
          <w:rFonts w:hint="eastAsia" w:eastAsia="仿宋_GB2312"/>
          <w:kern w:val="0"/>
          <w:sz w:val="32"/>
          <w:szCs w:val="32"/>
        </w:rPr>
        <w:t>。推进医保支付方式改革，持续做好药品和医疗器械“阳光采购”工作，支持商业健康保险发展。</w:t>
      </w:r>
    </w:p>
    <w:p w14:paraId="59588943">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2.推进公立医院高质量发展。</w:t>
      </w:r>
      <w:r>
        <w:rPr>
          <w:rFonts w:hint="eastAsia" w:ascii="Times New Roman" w:hAnsi="Times New Roman" w:eastAsia="仿宋_GB2312" w:cs="Times New Roman"/>
          <w:sz w:val="32"/>
          <w:szCs w:val="32"/>
        </w:rPr>
        <w:t>加强对全区公立医院的统一管理，构建“一盘棋”工作格局。</w:t>
      </w:r>
      <w:r>
        <w:rPr>
          <w:rFonts w:ascii="Times New Roman" w:hAnsi="Times New Roman" w:eastAsia="仿宋_GB2312" w:cs="Times New Roman"/>
          <w:sz w:val="32"/>
          <w:szCs w:val="32"/>
        </w:rPr>
        <w:t>因地制宜学习推广三明医改经验</w:t>
      </w:r>
      <w:r>
        <w:rPr>
          <w:rFonts w:hint="eastAsia" w:ascii="Times New Roman" w:hAnsi="Times New Roman" w:eastAsia="仿宋_GB2312" w:cs="Times New Roman"/>
          <w:sz w:val="32"/>
          <w:szCs w:val="32"/>
        </w:rPr>
        <w:t>，</w:t>
      </w:r>
      <w:r>
        <w:rPr>
          <w:rFonts w:hint="eastAsia" w:eastAsia="仿宋_GB2312" w:cs="仿宋_GB2312"/>
          <w:color w:val="000000"/>
          <w:sz w:val="32"/>
          <w:szCs w:val="32"/>
        </w:rPr>
        <w:t>深化以公益性为导向的公立医院改革。</w:t>
      </w:r>
      <w:r>
        <w:rPr>
          <w:rFonts w:ascii="Times New Roman" w:hAnsi="Times New Roman" w:eastAsia="仿宋_GB2312" w:cs="Times New Roman"/>
          <w:sz w:val="32"/>
          <w:szCs w:val="32"/>
        </w:rPr>
        <w:t>进一步健全现代医院管理制度</w:t>
      </w:r>
      <w:r>
        <w:rPr>
          <w:rFonts w:hint="eastAsia" w:eastAsia="仿宋_GB2312" w:cs="仿宋_GB2312"/>
          <w:color w:val="000000"/>
          <w:sz w:val="32"/>
          <w:szCs w:val="32"/>
        </w:rPr>
        <w:t>，学习先进医院管理经验，加强公立医院全面预算、成本核算和绩效管理。完善公立医院绩效考核体系，探索基于大数据的运行监测评价方法。防范化解公立医院经济运行风险，以精细化管理和智慧化赋能医院运行管理，实现降本增效。积极推进公立医院收支结构性调整，深化推进公立医院内部薪酬分配制度改革。</w:t>
      </w:r>
      <w:r>
        <w:rPr>
          <w:rFonts w:hint="eastAsia" w:ascii="Times New Roman" w:hAnsi="Times New Roman" w:eastAsia="仿宋_GB2312" w:cs="Times New Roman"/>
          <w:sz w:val="32"/>
          <w:szCs w:val="32"/>
        </w:rPr>
        <w:t>加强</w:t>
      </w:r>
      <w:r>
        <w:rPr>
          <w:rFonts w:ascii="Times New Roman" w:hAnsi="Times New Roman" w:eastAsia="仿宋_GB2312" w:cs="Times New Roman"/>
          <w:sz w:val="32"/>
          <w:szCs w:val="32"/>
        </w:rPr>
        <w:t>复旦大学附属中山医院青浦分院和金泽镇社区卫生服务中心公立医疗机构高质量发展试点单位</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推进发展模式、运营机制、服务方式、资源配置等转变升级。</w:t>
      </w:r>
    </w:p>
    <w:p w14:paraId="4A4C90F8">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3.引导规范社会办医疗机构发展。</w:t>
      </w:r>
      <w:r>
        <w:rPr>
          <w:rFonts w:hint="eastAsia" w:eastAsia="仿宋_GB2312"/>
          <w:kern w:val="0"/>
          <w:sz w:val="32"/>
          <w:szCs w:val="32"/>
        </w:rPr>
        <w:t>对社会办医疗机构</w:t>
      </w:r>
      <w:r>
        <w:rPr>
          <w:rFonts w:hint="eastAsia" w:ascii="Times New Roman" w:hAnsi="Times New Roman" w:eastAsia="仿宋_GB2312" w:cs="Times New Roman"/>
          <w:sz w:val="32"/>
          <w:szCs w:val="32"/>
        </w:rPr>
        <w:t>加强功能评估、</w:t>
      </w:r>
      <w:r>
        <w:rPr>
          <w:rFonts w:hint="eastAsia" w:eastAsia="仿宋_GB2312"/>
          <w:kern w:val="0"/>
          <w:sz w:val="32"/>
          <w:szCs w:val="32"/>
        </w:rPr>
        <w:t>运行监测</w:t>
      </w:r>
      <w:r>
        <w:rPr>
          <w:rFonts w:hint="eastAsia" w:ascii="Times New Roman" w:hAnsi="Times New Roman" w:eastAsia="仿宋_GB2312" w:cs="Times New Roman"/>
          <w:sz w:val="32"/>
          <w:szCs w:val="32"/>
        </w:rPr>
        <w:t>和绩效评价</w:t>
      </w:r>
      <w:r>
        <w:rPr>
          <w:rFonts w:hint="eastAsia" w:eastAsia="仿宋_GB2312"/>
          <w:kern w:val="0"/>
          <w:sz w:val="32"/>
          <w:szCs w:val="32"/>
        </w:rPr>
        <w:t>，并全面纳入区域医疗质控体系，推动依法规范执业，提高发展水平</w:t>
      </w:r>
      <w:r>
        <w:rPr>
          <w:rFonts w:hint="eastAsia" w:ascii="Times New Roman" w:hAnsi="Times New Roman" w:eastAsia="仿宋_GB2312" w:cs="Times New Roman"/>
          <w:sz w:val="32"/>
          <w:szCs w:val="32"/>
        </w:rPr>
        <w:t>。引导社会办医疗机构</w:t>
      </w:r>
      <w:r>
        <w:rPr>
          <w:rFonts w:hint="eastAsia" w:ascii="仿宋_GB2312" w:hAnsi="仿宋_GB2312" w:eastAsia="仿宋_GB2312" w:cs="仿宋_GB2312"/>
          <w:sz w:val="32"/>
          <w:szCs w:val="32"/>
        </w:rPr>
        <w:t>向集团化、高端化方向发展</w:t>
      </w:r>
      <w:r>
        <w:rPr>
          <w:rFonts w:hint="eastAsia" w:ascii="Times New Roman" w:hAnsi="Times New Roman" w:eastAsia="仿宋_GB2312" w:cs="Times New Roman"/>
          <w:sz w:val="32"/>
          <w:szCs w:val="32"/>
        </w:rPr>
        <w:t>，支持高水平社会办医打造特色优势专科医疗品牌</w:t>
      </w:r>
      <w:r>
        <w:rPr>
          <w:rFonts w:hint="eastAsia" w:ascii="仿宋_GB2312" w:hAnsi="仿宋_GB2312" w:eastAsia="仿宋_GB2312" w:cs="仿宋_GB2312"/>
          <w:sz w:val="32"/>
          <w:szCs w:val="32"/>
        </w:rPr>
        <w:t>，重点布局国际医疗，与区内市级医院、区级医疗卫生机构错位协同发展</w:t>
      </w:r>
      <w:r>
        <w:rPr>
          <w:rFonts w:hint="eastAsia" w:ascii="Times New Roman" w:hAnsi="Times New Roman" w:eastAsia="仿宋_GB2312" w:cs="Times New Roman"/>
          <w:sz w:val="32"/>
          <w:szCs w:val="32"/>
        </w:rPr>
        <w:t>。</w:t>
      </w:r>
    </w:p>
    <w:p w14:paraId="3738584E">
      <w:pPr>
        <w:widowControl/>
        <w:pBdr>
          <w:bottom w:val="single" w:color="FFFFFF" w:sz="4" w:space="5"/>
        </w:pBdr>
        <w:tabs>
          <w:tab w:val="left" w:pos="1440"/>
        </w:tabs>
        <w:spacing w:line="560" w:lineRule="exact"/>
        <w:ind w:firstLine="643" w:firstLineChars="200"/>
        <w:contextualSpacing/>
        <w:outlineLvl w:val="2"/>
        <w:rPr>
          <w:rFonts w:ascii="Times New Roman" w:hAnsi="Times New Roman" w:eastAsia="仿宋_GB2312" w:cs="Times New Roman"/>
          <w:kern w:val="0"/>
          <w:sz w:val="32"/>
          <w:szCs w:val="32"/>
        </w:rPr>
      </w:pPr>
      <w:r>
        <w:rPr>
          <w:rFonts w:hint="eastAsia" w:ascii="Times New Roman" w:hAnsi="Times New Roman" w:eastAsia="仿宋_GB2312" w:cs="Times New Roman"/>
          <w:b/>
          <w:bCs/>
          <w:sz w:val="32"/>
          <w:szCs w:val="32"/>
        </w:rPr>
        <w:t>4</w:t>
      </w:r>
      <w:r>
        <w:rPr>
          <w:rFonts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rPr>
        <w:t>加强</w:t>
      </w:r>
      <w:r>
        <w:rPr>
          <w:rFonts w:ascii="Times New Roman" w:hAnsi="Times New Roman" w:eastAsia="仿宋_GB2312" w:cs="Times New Roman"/>
          <w:b/>
          <w:bCs/>
          <w:sz w:val="32"/>
          <w:szCs w:val="32"/>
        </w:rPr>
        <w:t>行业治理和</w:t>
      </w:r>
      <w:r>
        <w:rPr>
          <w:rFonts w:hint="eastAsia" w:ascii="Times New Roman" w:hAnsi="Times New Roman" w:eastAsia="仿宋_GB2312" w:cs="Times New Roman"/>
          <w:b/>
          <w:bCs/>
          <w:sz w:val="32"/>
          <w:szCs w:val="32"/>
        </w:rPr>
        <w:t>行风建设</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持续</w:t>
      </w:r>
      <w:r>
        <w:rPr>
          <w:rFonts w:hint="eastAsia" w:ascii="仿宋_GB2312" w:hAnsi="Times New Roman" w:eastAsia="仿宋_GB2312" w:cs="Times New Roman"/>
          <w:sz w:val="32"/>
          <w:szCs w:val="32"/>
        </w:rPr>
        <w:t>推进政府职能转变，深化行政审批制度改革，进一步拓展“互联网+政务服务”覆盖面，</w:t>
      </w:r>
      <w:r>
        <w:rPr>
          <w:rFonts w:ascii="Times New Roman" w:hAnsi="Times New Roman" w:eastAsia="仿宋_GB2312" w:cs="Times New Roman"/>
          <w:sz w:val="32"/>
          <w:szCs w:val="32"/>
        </w:rPr>
        <w:t>提升行政效能。</w:t>
      </w:r>
      <w:r>
        <w:rPr>
          <w:rFonts w:hint="eastAsia" w:ascii="Times New Roman" w:hAnsi="Times New Roman" w:eastAsia="仿宋_GB2312" w:cs="Times New Roman"/>
          <w:sz w:val="32"/>
          <w:szCs w:val="32"/>
        </w:rPr>
        <w:t>完善</w:t>
      </w:r>
      <w:r>
        <w:rPr>
          <w:rFonts w:ascii="Times New Roman" w:hAnsi="Times New Roman" w:eastAsia="仿宋_GB2312" w:cs="Times New Roman"/>
          <w:sz w:val="32"/>
          <w:szCs w:val="32"/>
        </w:rPr>
        <w:t>卫生健康监督信息平台</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加强卫生健康行政执法资源配置和规范化建设</w:t>
      </w:r>
      <w:r>
        <w:rPr>
          <w:rFonts w:hint="eastAsia" w:ascii="Times New Roman" w:hAnsi="Times New Roman" w:eastAsia="仿宋_GB2312" w:cs="Times New Roman"/>
          <w:sz w:val="32"/>
          <w:szCs w:val="32"/>
        </w:rPr>
        <w:t>，</w:t>
      </w:r>
      <w:r>
        <w:rPr>
          <w:rFonts w:hint="eastAsia" w:eastAsia="仿宋_GB2312"/>
          <w:kern w:val="0"/>
          <w:sz w:val="32"/>
          <w:szCs w:val="32"/>
        </w:rPr>
        <w:t>加强对医疗服务、公共卫生等重点领域的随机监督抽查。</w:t>
      </w:r>
      <w:r>
        <w:rPr>
          <w:rFonts w:hint="eastAsia" w:ascii="Times New Roman" w:hAnsi="Times New Roman" w:eastAsia="仿宋_GB2312" w:cs="Times New Roman"/>
          <w:sz w:val="32"/>
          <w:szCs w:val="32"/>
        </w:rPr>
        <w:t>强化机构监管、行为监管、功能监管、穿透式监管、持续监管。</w:t>
      </w:r>
      <w:r>
        <w:rPr>
          <w:rFonts w:hint="eastAsia" w:eastAsia="仿宋_GB2312"/>
          <w:kern w:val="0"/>
          <w:sz w:val="32"/>
          <w:szCs w:val="32"/>
        </w:rPr>
        <w:t>推进包容审慎监管，促进新业态、新技术发展。强化数智化监管能力建设，促进现代化监管技术的广泛应用。</w:t>
      </w:r>
      <w:r>
        <w:rPr>
          <w:rFonts w:ascii="Times New Roman" w:hAnsi="Times New Roman" w:eastAsia="仿宋_GB2312" w:cs="Times New Roman"/>
          <w:kern w:val="0"/>
          <w:sz w:val="32"/>
          <w:szCs w:val="32"/>
        </w:rPr>
        <w:t>加强医疗卫生领域廉政建设，坚持以严的基调强化正风肃纪</w:t>
      </w:r>
      <w:r>
        <w:rPr>
          <w:rFonts w:hint="eastAsia" w:ascii="Times New Roman" w:hAnsi="Times New Roman" w:eastAsia="仿宋_GB2312" w:cs="Times New Roman"/>
          <w:kern w:val="0"/>
          <w:sz w:val="32"/>
          <w:szCs w:val="32"/>
        </w:rPr>
        <w:t>，</w:t>
      </w:r>
      <w:r>
        <w:rPr>
          <w:rFonts w:hint="eastAsia" w:ascii="仿宋_GB2312" w:hAnsi="仿宋_GB2312" w:eastAsia="仿宋_GB2312" w:cs="仿宋_GB2312"/>
          <w:sz w:val="32"/>
          <w:szCs w:val="32"/>
        </w:rPr>
        <w:t>深入开展警示教育，</w:t>
      </w:r>
      <w:r>
        <w:rPr>
          <w:rFonts w:ascii="Times New Roman" w:hAnsi="Times New Roman" w:eastAsia="仿宋_GB2312" w:cs="Times New Roman"/>
          <w:kern w:val="0"/>
          <w:sz w:val="32"/>
          <w:szCs w:val="32"/>
        </w:rPr>
        <w:t>持续整治群众身边不正之风和腐败问题。</w:t>
      </w:r>
    </w:p>
    <w:p w14:paraId="4AB87CE9">
      <w:pPr>
        <w:pStyle w:val="2"/>
        <w:spacing w:line="560" w:lineRule="exact"/>
        <w:rPr>
          <w:rFonts w:ascii="Times New Roman" w:hAnsi="Times New Roman"/>
        </w:rPr>
      </w:pPr>
      <w:bookmarkStart w:id="92" w:name="_Toc7565"/>
      <w:r>
        <w:rPr>
          <w:rFonts w:ascii="Times New Roman" w:hAnsi="Times New Roman"/>
        </w:rPr>
        <w:t>五、保障措施</w:t>
      </w:r>
      <w:bookmarkEnd w:id="92"/>
    </w:p>
    <w:p w14:paraId="48B56DB6">
      <w:pPr>
        <w:pStyle w:val="3"/>
        <w:spacing w:line="560" w:lineRule="exact"/>
      </w:pPr>
      <w:bookmarkStart w:id="93" w:name="_Toc200720746"/>
      <w:bookmarkStart w:id="94" w:name="_Toc14973"/>
      <w:r>
        <w:t>（一）加强组织领导</w:t>
      </w:r>
      <w:bookmarkEnd w:id="93"/>
      <w:bookmarkEnd w:id="94"/>
    </w:p>
    <w:p w14:paraId="0846BA49">
      <w:pPr>
        <w:snapToGrid w:val="0"/>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坚持党对卫生健康</w:t>
      </w:r>
      <w:r>
        <w:rPr>
          <w:rFonts w:hint="eastAsia" w:ascii="Times New Roman" w:hAnsi="Times New Roman" w:eastAsia="仿宋_GB2312" w:cs="Times New Roman"/>
          <w:kern w:val="0"/>
          <w:sz w:val="32"/>
          <w:szCs w:val="32"/>
        </w:rPr>
        <w:t>工作</w:t>
      </w:r>
      <w:r>
        <w:rPr>
          <w:rFonts w:ascii="Times New Roman" w:hAnsi="Times New Roman" w:eastAsia="仿宋_GB2312" w:cs="Times New Roman"/>
          <w:kern w:val="0"/>
          <w:sz w:val="32"/>
          <w:szCs w:val="32"/>
        </w:rPr>
        <w:t>的全面领导，</w:t>
      </w:r>
      <w:r>
        <w:rPr>
          <w:rFonts w:hint="eastAsia" w:ascii="Times New Roman" w:hAnsi="Times New Roman" w:eastAsia="仿宋_GB2312" w:cs="Times New Roman"/>
          <w:kern w:val="0"/>
          <w:sz w:val="32"/>
          <w:szCs w:val="32"/>
        </w:rPr>
        <w:t>坚决贯彻落实党中央对卫生健康改革发展各项决策部署。</w:t>
      </w:r>
      <w:r>
        <w:rPr>
          <w:rFonts w:ascii="Times New Roman" w:hAnsi="Times New Roman" w:eastAsia="仿宋_GB2312" w:cs="Times New Roman"/>
          <w:kern w:val="0"/>
          <w:sz w:val="32"/>
          <w:szCs w:val="32"/>
        </w:rPr>
        <w:t>将本规划主要目标和指标纳入</w:t>
      </w:r>
      <w:r>
        <w:rPr>
          <w:rFonts w:hint="eastAsia" w:ascii="Times New Roman" w:hAnsi="Times New Roman" w:eastAsia="仿宋_GB2312" w:cs="Times New Roman"/>
          <w:kern w:val="0"/>
          <w:sz w:val="32"/>
          <w:szCs w:val="32"/>
        </w:rPr>
        <w:t>我</w:t>
      </w:r>
      <w:r>
        <w:rPr>
          <w:rFonts w:ascii="Times New Roman" w:hAnsi="Times New Roman" w:eastAsia="仿宋_GB2312" w:cs="Times New Roman"/>
          <w:kern w:val="0"/>
          <w:sz w:val="32"/>
          <w:szCs w:val="32"/>
        </w:rPr>
        <w:t>区国民经济和社会发展等区域重要规划，制定年度计划</w:t>
      </w:r>
      <w:r>
        <w:rPr>
          <w:rFonts w:hint="eastAsia" w:ascii="Times New Roman" w:hAnsi="Times New Roman" w:eastAsia="仿宋_GB2312" w:cs="Times New Roman"/>
          <w:kern w:val="0"/>
          <w:sz w:val="32"/>
          <w:szCs w:val="32"/>
        </w:rPr>
        <w:t>和任务清单</w:t>
      </w:r>
      <w:r>
        <w:rPr>
          <w:rFonts w:ascii="Times New Roman" w:hAnsi="Times New Roman" w:eastAsia="仿宋_GB2312" w:cs="Times New Roman"/>
          <w:kern w:val="0"/>
          <w:sz w:val="32"/>
          <w:szCs w:val="32"/>
        </w:rPr>
        <w:t>，各有关部门、各街镇</w:t>
      </w:r>
      <w:r>
        <w:rPr>
          <w:rFonts w:hint="eastAsia" w:ascii="Times New Roman" w:hAnsi="Times New Roman" w:eastAsia="仿宋_GB2312" w:cs="Times New Roman"/>
          <w:kern w:val="0"/>
          <w:sz w:val="32"/>
          <w:szCs w:val="32"/>
        </w:rPr>
        <w:t>按职责</w:t>
      </w:r>
      <w:r>
        <w:rPr>
          <w:rFonts w:ascii="Times New Roman" w:hAnsi="Times New Roman" w:eastAsia="仿宋_GB2312" w:cs="Times New Roman"/>
          <w:kern w:val="0"/>
          <w:sz w:val="32"/>
          <w:szCs w:val="32"/>
        </w:rPr>
        <w:t>共同推进规划落实。探索建立健康影响评估机制。</w:t>
      </w:r>
    </w:p>
    <w:p w14:paraId="13CC58BA">
      <w:pPr>
        <w:pStyle w:val="3"/>
        <w:spacing w:line="560" w:lineRule="exact"/>
      </w:pPr>
      <w:bookmarkStart w:id="95" w:name="_Toc200720747"/>
      <w:bookmarkStart w:id="96" w:name="_Toc8485"/>
      <w:r>
        <w:t>（二）完善投入机制</w:t>
      </w:r>
      <w:bookmarkEnd w:id="95"/>
      <w:bookmarkEnd w:id="96"/>
    </w:p>
    <w:p w14:paraId="2B39BCCE">
      <w:pPr>
        <w:snapToGrid w:val="0"/>
        <w:spacing w:line="56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强化</w:t>
      </w:r>
      <w:r>
        <w:rPr>
          <w:rFonts w:ascii="Times New Roman" w:hAnsi="Times New Roman" w:eastAsia="仿宋_GB2312" w:cs="Times New Roman"/>
          <w:kern w:val="0"/>
          <w:sz w:val="32"/>
          <w:szCs w:val="32"/>
        </w:rPr>
        <w:t>政府在</w:t>
      </w:r>
      <w:r>
        <w:rPr>
          <w:rFonts w:hint="eastAsia" w:ascii="Times New Roman" w:hAnsi="Times New Roman" w:eastAsia="仿宋_GB2312" w:cs="Times New Roman"/>
          <w:kern w:val="0"/>
          <w:sz w:val="32"/>
          <w:szCs w:val="32"/>
        </w:rPr>
        <w:t>卫生健康事业投入</w:t>
      </w:r>
      <w:r>
        <w:rPr>
          <w:rFonts w:ascii="Times New Roman" w:hAnsi="Times New Roman" w:eastAsia="仿宋_GB2312" w:cs="Times New Roman"/>
          <w:kern w:val="0"/>
          <w:sz w:val="32"/>
          <w:szCs w:val="32"/>
        </w:rPr>
        <w:t>的</w:t>
      </w:r>
      <w:r>
        <w:rPr>
          <w:rFonts w:hint="eastAsia" w:ascii="Times New Roman" w:hAnsi="Times New Roman" w:eastAsia="仿宋_GB2312" w:cs="Times New Roman"/>
          <w:kern w:val="0"/>
          <w:sz w:val="32"/>
          <w:szCs w:val="32"/>
        </w:rPr>
        <w:t>主体责任</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引导社会资本积极参与发展卫生健康事业和产业。优化卫生健康财政投入方向，加大</w:t>
      </w:r>
      <w:r>
        <w:rPr>
          <w:rFonts w:ascii="Times New Roman" w:hAnsi="Times New Roman" w:eastAsia="仿宋_GB2312" w:cs="Times New Roman"/>
          <w:kern w:val="0"/>
          <w:sz w:val="32"/>
          <w:szCs w:val="32"/>
        </w:rPr>
        <w:t>对公共卫生、基本医疗、</w:t>
      </w:r>
      <w:r>
        <w:rPr>
          <w:rFonts w:hint="eastAsia" w:ascii="Times New Roman" w:hAnsi="Times New Roman" w:eastAsia="仿宋_GB2312" w:cs="Times New Roman"/>
          <w:kern w:val="0"/>
          <w:sz w:val="32"/>
          <w:szCs w:val="32"/>
        </w:rPr>
        <w:t>学科</w:t>
      </w:r>
      <w:r>
        <w:rPr>
          <w:rFonts w:ascii="Times New Roman" w:hAnsi="Times New Roman" w:eastAsia="仿宋_GB2312" w:cs="Times New Roman"/>
          <w:kern w:val="0"/>
          <w:sz w:val="32"/>
          <w:szCs w:val="32"/>
        </w:rPr>
        <w:t>人才</w:t>
      </w:r>
      <w:r>
        <w:rPr>
          <w:rFonts w:hint="eastAsia" w:ascii="Times New Roman" w:hAnsi="Times New Roman" w:eastAsia="仿宋_GB2312" w:cs="Times New Roman"/>
          <w:kern w:val="0"/>
          <w:sz w:val="32"/>
          <w:szCs w:val="32"/>
        </w:rPr>
        <w:t>、数字健康城区</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rPr>
        <w:t>方面倾斜</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聚焦重大项目和重点领域做好资金保障，统筹多渠道资金来源</w:t>
      </w:r>
      <w:r>
        <w:rPr>
          <w:rFonts w:ascii="Times New Roman" w:hAnsi="Times New Roman" w:eastAsia="仿宋_GB2312" w:cs="Times New Roman"/>
          <w:kern w:val="0"/>
          <w:sz w:val="32"/>
          <w:szCs w:val="32"/>
        </w:rPr>
        <w:t>。</w:t>
      </w:r>
    </w:p>
    <w:p w14:paraId="285F72BA">
      <w:pPr>
        <w:pStyle w:val="3"/>
        <w:spacing w:line="560" w:lineRule="exact"/>
      </w:pPr>
      <w:bookmarkStart w:id="97" w:name="_Toc200720748"/>
      <w:bookmarkStart w:id="98" w:name="_Toc29424"/>
      <w:r>
        <w:t>（三）强化监测评估</w:t>
      </w:r>
      <w:bookmarkEnd w:id="97"/>
      <w:bookmarkEnd w:id="98"/>
    </w:p>
    <w:p w14:paraId="628F79AF">
      <w:pPr>
        <w:snapToGrid w:val="0"/>
        <w:spacing w:line="560" w:lineRule="exact"/>
        <w:ind w:firstLine="640" w:firstLineChars="200"/>
        <w:rPr>
          <w:rFonts w:ascii="Times New Roman" w:hAnsi="Times New Roman" w:cs="Times New Roman"/>
        </w:rPr>
      </w:pPr>
      <w:r>
        <w:rPr>
          <w:rFonts w:ascii="Times New Roman" w:hAnsi="Times New Roman" w:eastAsia="仿宋_GB2312" w:cs="Times New Roman"/>
          <w:kern w:val="0"/>
          <w:sz w:val="32"/>
          <w:szCs w:val="32"/>
        </w:rPr>
        <w:t>建立规划监测评估机制，</w:t>
      </w:r>
      <w:r>
        <w:rPr>
          <w:rFonts w:hint="eastAsia" w:ascii="Times New Roman" w:hAnsi="Times New Roman" w:eastAsia="仿宋_GB2312" w:cs="Times New Roman"/>
          <w:kern w:val="0"/>
          <w:sz w:val="32"/>
          <w:szCs w:val="32"/>
        </w:rPr>
        <w:t>健全社会参与机制，</w:t>
      </w:r>
      <w:r>
        <w:rPr>
          <w:rFonts w:hint="eastAsia" w:eastAsia="仿宋_GB2312"/>
          <w:kern w:val="0"/>
          <w:sz w:val="32"/>
          <w:szCs w:val="32"/>
        </w:rPr>
        <w:t>对规划实施情况开展中期和终期评估，对监测评估中发现的问题，及时研究解决，确保规划目标实现。</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74830F-F13C-4EB9-97AC-A36DFA68266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embedRegular r:id="rId2" w:fontKey="{C9AB1DF4-731F-4CC7-AAC9-B9D551F97480}"/>
  </w:font>
  <w:font w:name="楷体_GB2312">
    <w:altName w:val="楷体"/>
    <w:panose1 w:val="02010609030101010101"/>
    <w:charset w:val="86"/>
    <w:family w:val="modern"/>
    <w:pitch w:val="default"/>
    <w:sig w:usb0="00000000" w:usb1="00000000" w:usb2="00000010" w:usb3="00000000" w:csb0="00040000" w:csb1="00000000"/>
    <w:embedRegular r:id="rId3" w:fontKey="{54173219-D389-4FB8-839B-B666763CE3B9}"/>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4" w:fontKey="{E436E3A9-124C-4334-9072-5DD59A0C5BA9}"/>
  </w:font>
  <w:font w:name="华文中宋">
    <w:panose1 w:val="02010600040101010101"/>
    <w:charset w:val="86"/>
    <w:family w:val="auto"/>
    <w:pitch w:val="default"/>
    <w:sig w:usb0="00000287" w:usb1="080F0000" w:usb2="00000000" w:usb3="00000000" w:csb0="0004009F" w:csb1="DFD70000"/>
    <w:embedRegular r:id="rId5" w:fontKey="{204D3639-599C-4ABA-A8AD-5B76E655B9F6}"/>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embedRegular r:id="rId6" w:fontKey="{3D56F274-AD3B-4E58-B456-5CCA0C3A700D}"/>
  </w:font>
  <w:font w:name="Arial">
    <w:panose1 w:val="020B0604020202020204"/>
    <w:charset w:val="00"/>
    <w:family w:val="swiss"/>
    <w:pitch w:val="default"/>
    <w:sig w:usb0="E0002AFF" w:usb1="C0007843" w:usb2="00000009" w:usb3="00000000" w:csb0="400001FF" w:csb1="FFFF0000"/>
    <w:embedRegular r:id="rId7" w:fontKey="{EC8F4DC0-C526-4EEF-AB4F-451025FE09B4}"/>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F4BB2">
    <w:pPr>
      <w:pStyle w:val="13"/>
      <w:adjustRightInd w:val="0"/>
      <w:jc w:val="center"/>
      <w:rPr>
        <w:sz w:val="28"/>
        <w:szCs w:val="28"/>
      </w:rPr>
    </w:pPr>
    <w:r>
      <w:rPr>
        <w:sz w:val="28"/>
        <w:szCs w:val="28"/>
      </w:rPr>
      <w:t xml:space="preserve">— </w:t>
    </w:r>
    <w:sdt>
      <w:sdtPr>
        <w:rPr>
          <w:sz w:val="28"/>
          <w:szCs w:val="28"/>
        </w:rPr>
        <w:id w:val="-1249107068"/>
      </w:sdtPr>
      <w:sdtEndPr>
        <w:rPr>
          <w:sz w:val="28"/>
          <w:szCs w:val="28"/>
        </w:rPr>
      </w:sdtEnd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sz w:val="28"/>
            <w:szCs w:val="28"/>
          </w:rPr>
          <w:t xml:space="preserve"> —</w:t>
        </w: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032"/>
    <w:rsid w:val="0000472B"/>
    <w:rsid w:val="00005C1D"/>
    <w:rsid w:val="000075C9"/>
    <w:rsid w:val="0001351C"/>
    <w:rsid w:val="00016C3C"/>
    <w:rsid w:val="00017077"/>
    <w:rsid w:val="00026A37"/>
    <w:rsid w:val="00030FC8"/>
    <w:rsid w:val="00032863"/>
    <w:rsid w:val="00040EB3"/>
    <w:rsid w:val="0004133A"/>
    <w:rsid w:val="000425CD"/>
    <w:rsid w:val="00044A44"/>
    <w:rsid w:val="000474BA"/>
    <w:rsid w:val="00050D94"/>
    <w:rsid w:val="000512CE"/>
    <w:rsid w:val="000518E6"/>
    <w:rsid w:val="000535AF"/>
    <w:rsid w:val="00053F7B"/>
    <w:rsid w:val="000572C0"/>
    <w:rsid w:val="00057F55"/>
    <w:rsid w:val="000618EC"/>
    <w:rsid w:val="00061D24"/>
    <w:rsid w:val="00062B98"/>
    <w:rsid w:val="00066495"/>
    <w:rsid w:val="000720B6"/>
    <w:rsid w:val="000764EE"/>
    <w:rsid w:val="00077048"/>
    <w:rsid w:val="0008026B"/>
    <w:rsid w:val="0008230B"/>
    <w:rsid w:val="0008531C"/>
    <w:rsid w:val="0009167C"/>
    <w:rsid w:val="000A0B23"/>
    <w:rsid w:val="000A509C"/>
    <w:rsid w:val="000A6266"/>
    <w:rsid w:val="000A64A2"/>
    <w:rsid w:val="000B18F5"/>
    <w:rsid w:val="000C0BC6"/>
    <w:rsid w:val="000C1721"/>
    <w:rsid w:val="000C1A53"/>
    <w:rsid w:val="000C52E9"/>
    <w:rsid w:val="000C7375"/>
    <w:rsid w:val="000C7CDA"/>
    <w:rsid w:val="000D1592"/>
    <w:rsid w:val="000D5FC4"/>
    <w:rsid w:val="000E0B78"/>
    <w:rsid w:val="000E198C"/>
    <w:rsid w:val="000F0623"/>
    <w:rsid w:val="000F075D"/>
    <w:rsid w:val="000F086C"/>
    <w:rsid w:val="000F377C"/>
    <w:rsid w:val="000F4842"/>
    <w:rsid w:val="000F4CED"/>
    <w:rsid w:val="000F5807"/>
    <w:rsid w:val="000F58CA"/>
    <w:rsid w:val="000F5DC3"/>
    <w:rsid w:val="000F75AF"/>
    <w:rsid w:val="000F766C"/>
    <w:rsid w:val="0010197D"/>
    <w:rsid w:val="00101AE8"/>
    <w:rsid w:val="0010497E"/>
    <w:rsid w:val="00110FF9"/>
    <w:rsid w:val="001115E6"/>
    <w:rsid w:val="001203A9"/>
    <w:rsid w:val="001221F1"/>
    <w:rsid w:val="00122989"/>
    <w:rsid w:val="00125D5C"/>
    <w:rsid w:val="00126ECC"/>
    <w:rsid w:val="00126FFF"/>
    <w:rsid w:val="001301ED"/>
    <w:rsid w:val="00137579"/>
    <w:rsid w:val="00146CF6"/>
    <w:rsid w:val="001531A8"/>
    <w:rsid w:val="001545AE"/>
    <w:rsid w:val="00155369"/>
    <w:rsid w:val="00156B4A"/>
    <w:rsid w:val="001634B9"/>
    <w:rsid w:val="001634FC"/>
    <w:rsid w:val="00165B61"/>
    <w:rsid w:val="0017307F"/>
    <w:rsid w:val="001754F3"/>
    <w:rsid w:val="0018602F"/>
    <w:rsid w:val="00186094"/>
    <w:rsid w:val="001A670B"/>
    <w:rsid w:val="001A7766"/>
    <w:rsid w:val="001B12F2"/>
    <w:rsid w:val="001B1F6A"/>
    <w:rsid w:val="001B2DB5"/>
    <w:rsid w:val="001C1722"/>
    <w:rsid w:val="001C5884"/>
    <w:rsid w:val="001C5BBB"/>
    <w:rsid w:val="001D0347"/>
    <w:rsid w:val="001D15BC"/>
    <w:rsid w:val="001D2771"/>
    <w:rsid w:val="001D3898"/>
    <w:rsid w:val="001D3DA0"/>
    <w:rsid w:val="001D4946"/>
    <w:rsid w:val="001D544B"/>
    <w:rsid w:val="001D6394"/>
    <w:rsid w:val="001D6E44"/>
    <w:rsid w:val="001E013D"/>
    <w:rsid w:val="001E0E47"/>
    <w:rsid w:val="001E10A3"/>
    <w:rsid w:val="001E39D5"/>
    <w:rsid w:val="001F0C41"/>
    <w:rsid w:val="001F284F"/>
    <w:rsid w:val="0020166D"/>
    <w:rsid w:val="002040C2"/>
    <w:rsid w:val="00206CB8"/>
    <w:rsid w:val="002107A1"/>
    <w:rsid w:val="00212254"/>
    <w:rsid w:val="00212B13"/>
    <w:rsid w:val="002140B5"/>
    <w:rsid w:val="002149A9"/>
    <w:rsid w:val="00216824"/>
    <w:rsid w:val="00223AAE"/>
    <w:rsid w:val="002259B4"/>
    <w:rsid w:val="002302BB"/>
    <w:rsid w:val="00230F89"/>
    <w:rsid w:val="0023169B"/>
    <w:rsid w:val="002338B9"/>
    <w:rsid w:val="00233994"/>
    <w:rsid w:val="002459BE"/>
    <w:rsid w:val="00246B1E"/>
    <w:rsid w:val="00247A59"/>
    <w:rsid w:val="00251C54"/>
    <w:rsid w:val="0025317C"/>
    <w:rsid w:val="00255E91"/>
    <w:rsid w:val="00257FAA"/>
    <w:rsid w:val="002607A1"/>
    <w:rsid w:val="00260CDC"/>
    <w:rsid w:val="00261398"/>
    <w:rsid w:val="00261E22"/>
    <w:rsid w:val="002620FB"/>
    <w:rsid w:val="00271F50"/>
    <w:rsid w:val="00272B48"/>
    <w:rsid w:val="00274B98"/>
    <w:rsid w:val="002750E3"/>
    <w:rsid w:val="002756E8"/>
    <w:rsid w:val="002765A8"/>
    <w:rsid w:val="00277F0D"/>
    <w:rsid w:val="00282875"/>
    <w:rsid w:val="00287256"/>
    <w:rsid w:val="002940A4"/>
    <w:rsid w:val="002943A9"/>
    <w:rsid w:val="002959F5"/>
    <w:rsid w:val="002A0498"/>
    <w:rsid w:val="002A0B84"/>
    <w:rsid w:val="002A32E0"/>
    <w:rsid w:val="002A438F"/>
    <w:rsid w:val="002A7980"/>
    <w:rsid w:val="002B1679"/>
    <w:rsid w:val="002B185A"/>
    <w:rsid w:val="002B2B57"/>
    <w:rsid w:val="002B467C"/>
    <w:rsid w:val="002B6263"/>
    <w:rsid w:val="002C422E"/>
    <w:rsid w:val="002C4AD7"/>
    <w:rsid w:val="002D5786"/>
    <w:rsid w:val="002D5CCF"/>
    <w:rsid w:val="002E3300"/>
    <w:rsid w:val="002E4F66"/>
    <w:rsid w:val="002F0C88"/>
    <w:rsid w:val="002F6483"/>
    <w:rsid w:val="002F7AF4"/>
    <w:rsid w:val="003007B0"/>
    <w:rsid w:val="003011DE"/>
    <w:rsid w:val="00301DA4"/>
    <w:rsid w:val="00301EAE"/>
    <w:rsid w:val="00302E0C"/>
    <w:rsid w:val="00304207"/>
    <w:rsid w:val="003075B7"/>
    <w:rsid w:val="00311323"/>
    <w:rsid w:val="003126CA"/>
    <w:rsid w:val="00314516"/>
    <w:rsid w:val="00314ECD"/>
    <w:rsid w:val="00315677"/>
    <w:rsid w:val="00322BF9"/>
    <w:rsid w:val="00324570"/>
    <w:rsid w:val="00324A60"/>
    <w:rsid w:val="003263C4"/>
    <w:rsid w:val="00331475"/>
    <w:rsid w:val="00332296"/>
    <w:rsid w:val="003323EA"/>
    <w:rsid w:val="00332748"/>
    <w:rsid w:val="00333E59"/>
    <w:rsid w:val="00335B37"/>
    <w:rsid w:val="0034044F"/>
    <w:rsid w:val="0034346D"/>
    <w:rsid w:val="0034501A"/>
    <w:rsid w:val="00352483"/>
    <w:rsid w:val="00353611"/>
    <w:rsid w:val="00355D5B"/>
    <w:rsid w:val="00357DF1"/>
    <w:rsid w:val="00362091"/>
    <w:rsid w:val="00366309"/>
    <w:rsid w:val="00367990"/>
    <w:rsid w:val="003715D0"/>
    <w:rsid w:val="0037650D"/>
    <w:rsid w:val="00382B18"/>
    <w:rsid w:val="00382FFE"/>
    <w:rsid w:val="003832A9"/>
    <w:rsid w:val="00385304"/>
    <w:rsid w:val="0038550A"/>
    <w:rsid w:val="00394A70"/>
    <w:rsid w:val="003A5711"/>
    <w:rsid w:val="003A6BDC"/>
    <w:rsid w:val="003B4C53"/>
    <w:rsid w:val="003B5B27"/>
    <w:rsid w:val="003B5C27"/>
    <w:rsid w:val="003B79F7"/>
    <w:rsid w:val="003C1329"/>
    <w:rsid w:val="003C163B"/>
    <w:rsid w:val="003C306B"/>
    <w:rsid w:val="003C327E"/>
    <w:rsid w:val="003C6BEA"/>
    <w:rsid w:val="003C7253"/>
    <w:rsid w:val="003C7CE9"/>
    <w:rsid w:val="003C7D79"/>
    <w:rsid w:val="003D0CAB"/>
    <w:rsid w:val="003D38FC"/>
    <w:rsid w:val="003D6823"/>
    <w:rsid w:val="003E051E"/>
    <w:rsid w:val="003E352B"/>
    <w:rsid w:val="003E3DE0"/>
    <w:rsid w:val="003E414A"/>
    <w:rsid w:val="003E482B"/>
    <w:rsid w:val="003E5CC8"/>
    <w:rsid w:val="003F0316"/>
    <w:rsid w:val="003F07BC"/>
    <w:rsid w:val="003F2039"/>
    <w:rsid w:val="003F22DB"/>
    <w:rsid w:val="004012A0"/>
    <w:rsid w:val="00404B00"/>
    <w:rsid w:val="00405C60"/>
    <w:rsid w:val="004107C0"/>
    <w:rsid w:val="00410E8E"/>
    <w:rsid w:val="00411B7F"/>
    <w:rsid w:val="004138C0"/>
    <w:rsid w:val="00415074"/>
    <w:rsid w:val="00417F93"/>
    <w:rsid w:val="004202C2"/>
    <w:rsid w:val="00420938"/>
    <w:rsid w:val="004216A5"/>
    <w:rsid w:val="00423499"/>
    <w:rsid w:val="00423CE8"/>
    <w:rsid w:val="00431212"/>
    <w:rsid w:val="00432F05"/>
    <w:rsid w:val="00437582"/>
    <w:rsid w:val="00444DFA"/>
    <w:rsid w:val="00445087"/>
    <w:rsid w:val="00472622"/>
    <w:rsid w:val="004728CD"/>
    <w:rsid w:val="00473E3C"/>
    <w:rsid w:val="004759C5"/>
    <w:rsid w:val="00475DB8"/>
    <w:rsid w:val="00480201"/>
    <w:rsid w:val="0048107C"/>
    <w:rsid w:val="00482C4D"/>
    <w:rsid w:val="00484848"/>
    <w:rsid w:val="00492BDB"/>
    <w:rsid w:val="00494433"/>
    <w:rsid w:val="00494675"/>
    <w:rsid w:val="00497ECE"/>
    <w:rsid w:val="004A174A"/>
    <w:rsid w:val="004A21B0"/>
    <w:rsid w:val="004A2D3E"/>
    <w:rsid w:val="004A6046"/>
    <w:rsid w:val="004B0181"/>
    <w:rsid w:val="004B17DD"/>
    <w:rsid w:val="004B31D1"/>
    <w:rsid w:val="004B554A"/>
    <w:rsid w:val="004C0E27"/>
    <w:rsid w:val="004C1EB8"/>
    <w:rsid w:val="004C2E52"/>
    <w:rsid w:val="004D0CC5"/>
    <w:rsid w:val="004D29AE"/>
    <w:rsid w:val="004D3B95"/>
    <w:rsid w:val="004D3D54"/>
    <w:rsid w:val="004D6442"/>
    <w:rsid w:val="004E1958"/>
    <w:rsid w:val="004E2370"/>
    <w:rsid w:val="004E253E"/>
    <w:rsid w:val="004E2592"/>
    <w:rsid w:val="004E52BF"/>
    <w:rsid w:val="004E5571"/>
    <w:rsid w:val="004E5B6B"/>
    <w:rsid w:val="004F0DBB"/>
    <w:rsid w:val="004F237B"/>
    <w:rsid w:val="004F58C5"/>
    <w:rsid w:val="005003F1"/>
    <w:rsid w:val="0050350B"/>
    <w:rsid w:val="0050364C"/>
    <w:rsid w:val="00506D3E"/>
    <w:rsid w:val="00511CD3"/>
    <w:rsid w:val="005228BC"/>
    <w:rsid w:val="0052372C"/>
    <w:rsid w:val="00533492"/>
    <w:rsid w:val="00533560"/>
    <w:rsid w:val="00535349"/>
    <w:rsid w:val="00535C0C"/>
    <w:rsid w:val="005370FD"/>
    <w:rsid w:val="00540E5F"/>
    <w:rsid w:val="00545AF3"/>
    <w:rsid w:val="00546F2F"/>
    <w:rsid w:val="00547304"/>
    <w:rsid w:val="005522B3"/>
    <w:rsid w:val="00556567"/>
    <w:rsid w:val="00556B04"/>
    <w:rsid w:val="00562173"/>
    <w:rsid w:val="005632ED"/>
    <w:rsid w:val="005663A0"/>
    <w:rsid w:val="005721BE"/>
    <w:rsid w:val="00574AF5"/>
    <w:rsid w:val="005849D6"/>
    <w:rsid w:val="00584D81"/>
    <w:rsid w:val="00585652"/>
    <w:rsid w:val="005860C4"/>
    <w:rsid w:val="00587318"/>
    <w:rsid w:val="005878C6"/>
    <w:rsid w:val="00591954"/>
    <w:rsid w:val="0059346C"/>
    <w:rsid w:val="005943E1"/>
    <w:rsid w:val="005948C0"/>
    <w:rsid w:val="00594D2B"/>
    <w:rsid w:val="00595610"/>
    <w:rsid w:val="00595B03"/>
    <w:rsid w:val="005A6435"/>
    <w:rsid w:val="005B0FD0"/>
    <w:rsid w:val="005B4DCC"/>
    <w:rsid w:val="005B5640"/>
    <w:rsid w:val="005B6166"/>
    <w:rsid w:val="005C1658"/>
    <w:rsid w:val="005C1C88"/>
    <w:rsid w:val="005C3B70"/>
    <w:rsid w:val="005C43D0"/>
    <w:rsid w:val="005D4705"/>
    <w:rsid w:val="005D5143"/>
    <w:rsid w:val="005E0B8D"/>
    <w:rsid w:val="005E1EF5"/>
    <w:rsid w:val="005E3F3C"/>
    <w:rsid w:val="005E5113"/>
    <w:rsid w:val="005E561B"/>
    <w:rsid w:val="005E69F1"/>
    <w:rsid w:val="005F1209"/>
    <w:rsid w:val="005F57B7"/>
    <w:rsid w:val="005F5BF3"/>
    <w:rsid w:val="005F6780"/>
    <w:rsid w:val="00601B5C"/>
    <w:rsid w:val="006030BF"/>
    <w:rsid w:val="00603CE9"/>
    <w:rsid w:val="00605510"/>
    <w:rsid w:val="006079F0"/>
    <w:rsid w:val="006109BE"/>
    <w:rsid w:val="00611423"/>
    <w:rsid w:val="00611F54"/>
    <w:rsid w:val="006125C7"/>
    <w:rsid w:val="00614478"/>
    <w:rsid w:val="00617428"/>
    <w:rsid w:val="00617EA7"/>
    <w:rsid w:val="006200AE"/>
    <w:rsid w:val="00623DF7"/>
    <w:rsid w:val="006242AB"/>
    <w:rsid w:val="0062528A"/>
    <w:rsid w:val="0063153E"/>
    <w:rsid w:val="006337D9"/>
    <w:rsid w:val="006358EF"/>
    <w:rsid w:val="006360C0"/>
    <w:rsid w:val="006427E5"/>
    <w:rsid w:val="00651AF0"/>
    <w:rsid w:val="00652344"/>
    <w:rsid w:val="0065271F"/>
    <w:rsid w:val="0065343F"/>
    <w:rsid w:val="0065454D"/>
    <w:rsid w:val="00656CC1"/>
    <w:rsid w:val="006636A1"/>
    <w:rsid w:val="006654D1"/>
    <w:rsid w:val="00667B07"/>
    <w:rsid w:val="00673286"/>
    <w:rsid w:val="006772DF"/>
    <w:rsid w:val="00683A24"/>
    <w:rsid w:val="0069321A"/>
    <w:rsid w:val="00693DBC"/>
    <w:rsid w:val="00693F8D"/>
    <w:rsid w:val="006A26AE"/>
    <w:rsid w:val="006A2D87"/>
    <w:rsid w:val="006A5A28"/>
    <w:rsid w:val="006A5A6F"/>
    <w:rsid w:val="006B00B1"/>
    <w:rsid w:val="006B01D7"/>
    <w:rsid w:val="006B2552"/>
    <w:rsid w:val="006B7014"/>
    <w:rsid w:val="006D506F"/>
    <w:rsid w:val="006E12E0"/>
    <w:rsid w:val="006E26EF"/>
    <w:rsid w:val="006E5E7A"/>
    <w:rsid w:val="006F4707"/>
    <w:rsid w:val="006F5343"/>
    <w:rsid w:val="0070302A"/>
    <w:rsid w:val="0070512C"/>
    <w:rsid w:val="007072BE"/>
    <w:rsid w:val="0070731C"/>
    <w:rsid w:val="00710803"/>
    <w:rsid w:val="00712814"/>
    <w:rsid w:val="00712B4B"/>
    <w:rsid w:val="0071371A"/>
    <w:rsid w:val="007150D7"/>
    <w:rsid w:val="00717594"/>
    <w:rsid w:val="007249D4"/>
    <w:rsid w:val="00726320"/>
    <w:rsid w:val="00727A57"/>
    <w:rsid w:val="00730200"/>
    <w:rsid w:val="00730595"/>
    <w:rsid w:val="00730E47"/>
    <w:rsid w:val="00732365"/>
    <w:rsid w:val="007337E1"/>
    <w:rsid w:val="00740390"/>
    <w:rsid w:val="00744A2E"/>
    <w:rsid w:val="0074574C"/>
    <w:rsid w:val="00751227"/>
    <w:rsid w:val="0075129D"/>
    <w:rsid w:val="00751A0B"/>
    <w:rsid w:val="00753C1F"/>
    <w:rsid w:val="00757F4C"/>
    <w:rsid w:val="00760E60"/>
    <w:rsid w:val="00763786"/>
    <w:rsid w:val="00764F2B"/>
    <w:rsid w:val="00770B70"/>
    <w:rsid w:val="0077291A"/>
    <w:rsid w:val="00774C0E"/>
    <w:rsid w:val="00777B1E"/>
    <w:rsid w:val="00784051"/>
    <w:rsid w:val="00784294"/>
    <w:rsid w:val="00793959"/>
    <w:rsid w:val="0079704E"/>
    <w:rsid w:val="007978F0"/>
    <w:rsid w:val="007A7084"/>
    <w:rsid w:val="007A75E9"/>
    <w:rsid w:val="007B2B79"/>
    <w:rsid w:val="007B2BA7"/>
    <w:rsid w:val="007B2D21"/>
    <w:rsid w:val="007B4376"/>
    <w:rsid w:val="007B43A3"/>
    <w:rsid w:val="007C1F08"/>
    <w:rsid w:val="007C601E"/>
    <w:rsid w:val="007D0D5A"/>
    <w:rsid w:val="007D154F"/>
    <w:rsid w:val="007D54B2"/>
    <w:rsid w:val="007E0F00"/>
    <w:rsid w:val="007F070C"/>
    <w:rsid w:val="00803AFB"/>
    <w:rsid w:val="00804188"/>
    <w:rsid w:val="008051D4"/>
    <w:rsid w:val="00805EF7"/>
    <w:rsid w:val="0080759A"/>
    <w:rsid w:val="00813362"/>
    <w:rsid w:val="0081515C"/>
    <w:rsid w:val="008168D0"/>
    <w:rsid w:val="0082108F"/>
    <w:rsid w:val="00821D50"/>
    <w:rsid w:val="00822B90"/>
    <w:rsid w:val="008240DB"/>
    <w:rsid w:val="00824D99"/>
    <w:rsid w:val="00826464"/>
    <w:rsid w:val="00830B2B"/>
    <w:rsid w:val="00832DB3"/>
    <w:rsid w:val="00835B76"/>
    <w:rsid w:val="00836467"/>
    <w:rsid w:val="008436C2"/>
    <w:rsid w:val="00845CBF"/>
    <w:rsid w:val="0085105F"/>
    <w:rsid w:val="00853855"/>
    <w:rsid w:val="00865CE5"/>
    <w:rsid w:val="00870CFA"/>
    <w:rsid w:val="0087213F"/>
    <w:rsid w:val="008745D5"/>
    <w:rsid w:val="008755E5"/>
    <w:rsid w:val="00880B9E"/>
    <w:rsid w:val="008841AF"/>
    <w:rsid w:val="008841CA"/>
    <w:rsid w:val="008924DC"/>
    <w:rsid w:val="008952F6"/>
    <w:rsid w:val="00895BF7"/>
    <w:rsid w:val="00896C7F"/>
    <w:rsid w:val="008B0CFC"/>
    <w:rsid w:val="008B765F"/>
    <w:rsid w:val="008C6DF4"/>
    <w:rsid w:val="008D273E"/>
    <w:rsid w:val="008D2F2F"/>
    <w:rsid w:val="008D4ABA"/>
    <w:rsid w:val="008D5FD2"/>
    <w:rsid w:val="008D6056"/>
    <w:rsid w:val="008E0EC6"/>
    <w:rsid w:val="008E1B7B"/>
    <w:rsid w:val="008E2991"/>
    <w:rsid w:val="008E34F2"/>
    <w:rsid w:val="008E3678"/>
    <w:rsid w:val="008E7B56"/>
    <w:rsid w:val="008F179A"/>
    <w:rsid w:val="008F1DEE"/>
    <w:rsid w:val="008F63A7"/>
    <w:rsid w:val="008F6491"/>
    <w:rsid w:val="00900BB6"/>
    <w:rsid w:val="00906F9C"/>
    <w:rsid w:val="0091006C"/>
    <w:rsid w:val="00911BB7"/>
    <w:rsid w:val="009169D0"/>
    <w:rsid w:val="00917E88"/>
    <w:rsid w:val="00920408"/>
    <w:rsid w:val="00921627"/>
    <w:rsid w:val="00923CF7"/>
    <w:rsid w:val="00926FAD"/>
    <w:rsid w:val="00931C8A"/>
    <w:rsid w:val="00934758"/>
    <w:rsid w:val="00937BDA"/>
    <w:rsid w:val="0094422B"/>
    <w:rsid w:val="009535DF"/>
    <w:rsid w:val="00962F32"/>
    <w:rsid w:val="009669FD"/>
    <w:rsid w:val="00973426"/>
    <w:rsid w:val="00977D2B"/>
    <w:rsid w:val="009874B0"/>
    <w:rsid w:val="00990EF7"/>
    <w:rsid w:val="00991BD7"/>
    <w:rsid w:val="00994F43"/>
    <w:rsid w:val="009A1A17"/>
    <w:rsid w:val="009B6EF2"/>
    <w:rsid w:val="009C12ED"/>
    <w:rsid w:val="009C60EE"/>
    <w:rsid w:val="009C6F46"/>
    <w:rsid w:val="009C7BB0"/>
    <w:rsid w:val="009D5B10"/>
    <w:rsid w:val="009D66DC"/>
    <w:rsid w:val="009D6C4C"/>
    <w:rsid w:val="009E0288"/>
    <w:rsid w:val="009E0294"/>
    <w:rsid w:val="009E2F6F"/>
    <w:rsid w:val="009E50C1"/>
    <w:rsid w:val="009E7EC0"/>
    <w:rsid w:val="009F29C1"/>
    <w:rsid w:val="009F45B2"/>
    <w:rsid w:val="009F4949"/>
    <w:rsid w:val="009F581C"/>
    <w:rsid w:val="009F62CB"/>
    <w:rsid w:val="00A02E24"/>
    <w:rsid w:val="00A03253"/>
    <w:rsid w:val="00A036CB"/>
    <w:rsid w:val="00A057DB"/>
    <w:rsid w:val="00A06EFB"/>
    <w:rsid w:val="00A13983"/>
    <w:rsid w:val="00A13BDF"/>
    <w:rsid w:val="00A16032"/>
    <w:rsid w:val="00A1703D"/>
    <w:rsid w:val="00A21E88"/>
    <w:rsid w:val="00A24F54"/>
    <w:rsid w:val="00A25C63"/>
    <w:rsid w:val="00A25F7C"/>
    <w:rsid w:val="00A26EB1"/>
    <w:rsid w:val="00A271B9"/>
    <w:rsid w:val="00A31EF3"/>
    <w:rsid w:val="00A32DA7"/>
    <w:rsid w:val="00A34929"/>
    <w:rsid w:val="00A3535B"/>
    <w:rsid w:val="00A41E77"/>
    <w:rsid w:val="00A47340"/>
    <w:rsid w:val="00A476AB"/>
    <w:rsid w:val="00A52B2D"/>
    <w:rsid w:val="00A537B2"/>
    <w:rsid w:val="00A54AD5"/>
    <w:rsid w:val="00A5789A"/>
    <w:rsid w:val="00A6629C"/>
    <w:rsid w:val="00A67D1C"/>
    <w:rsid w:val="00A74112"/>
    <w:rsid w:val="00A749A2"/>
    <w:rsid w:val="00A7614C"/>
    <w:rsid w:val="00A76707"/>
    <w:rsid w:val="00A76833"/>
    <w:rsid w:val="00A83E0A"/>
    <w:rsid w:val="00A84751"/>
    <w:rsid w:val="00A84BB1"/>
    <w:rsid w:val="00A85215"/>
    <w:rsid w:val="00A87D8D"/>
    <w:rsid w:val="00A905C5"/>
    <w:rsid w:val="00A91CB1"/>
    <w:rsid w:val="00A91E4A"/>
    <w:rsid w:val="00A91FB4"/>
    <w:rsid w:val="00A92348"/>
    <w:rsid w:val="00A9376D"/>
    <w:rsid w:val="00AA3744"/>
    <w:rsid w:val="00AA393E"/>
    <w:rsid w:val="00AA75DF"/>
    <w:rsid w:val="00AB119C"/>
    <w:rsid w:val="00AB153D"/>
    <w:rsid w:val="00AB6C4F"/>
    <w:rsid w:val="00AC2B9D"/>
    <w:rsid w:val="00AC418A"/>
    <w:rsid w:val="00AC4C8F"/>
    <w:rsid w:val="00AC6690"/>
    <w:rsid w:val="00AD0F03"/>
    <w:rsid w:val="00AD2932"/>
    <w:rsid w:val="00AD2FA6"/>
    <w:rsid w:val="00AD31A0"/>
    <w:rsid w:val="00AD3909"/>
    <w:rsid w:val="00AD3D8E"/>
    <w:rsid w:val="00AD4DC3"/>
    <w:rsid w:val="00AE3353"/>
    <w:rsid w:val="00AE3FDA"/>
    <w:rsid w:val="00AE47C4"/>
    <w:rsid w:val="00AF03B0"/>
    <w:rsid w:val="00AF0B50"/>
    <w:rsid w:val="00AF12FF"/>
    <w:rsid w:val="00AF285C"/>
    <w:rsid w:val="00AF3065"/>
    <w:rsid w:val="00AF40B4"/>
    <w:rsid w:val="00AF5F0E"/>
    <w:rsid w:val="00AF7446"/>
    <w:rsid w:val="00B01C6E"/>
    <w:rsid w:val="00B04C11"/>
    <w:rsid w:val="00B0530D"/>
    <w:rsid w:val="00B05D97"/>
    <w:rsid w:val="00B05E80"/>
    <w:rsid w:val="00B06B4E"/>
    <w:rsid w:val="00B110B7"/>
    <w:rsid w:val="00B11E3E"/>
    <w:rsid w:val="00B13219"/>
    <w:rsid w:val="00B14026"/>
    <w:rsid w:val="00B14145"/>
    <w:rsid w:val="00B1472E"/>
    <w:rsid w:val="00B16471"/>
    <w:rsid w:val="00B21C33"/>
    <w:rsid w:val="00B2252E"/>
    <w:rsid w:val="00B2398C"/>
    <w:rsid w:val="00B25CA3"/>
    <w:rsid w:val="00B271AE"/>
    <w:rsid w:val="00B31B2F"/>
    <w:rsid w:val="00B3374C"/>
    <w:rsid w:val="00B3462C"/>
    <w:rsid w:val="00B44C9B"/>
    <w:rsid w:val="00B511B5"/>
    <w:rsid w:val="00B5529F"/>
    <w:rsid w:val="00B6148E"/>
    <w:rsid w:val="00B65860"/>
    <w:rsid w:val="00B676C9"/>
    <w:rsid w:val="00B70568"/>
    <w:rsid w:val="00B712B9"/>
    <w:rsid w:val="00B719AB"/>
    <w:rsid w:val="00B732CC"/>
    <w:rsid w:val="00B73B40"/>
    <w:rsid w:val="00B748E6"/>
    <w:rsid w:val="00B7541D"/>
    <w:rsid w:val="00B83CED"/>
    <w:rsid w:val="00B84101"/>
    <w:rsid w:val="00B85BD1"/>
    <w:rsid w:val="00B877DB"/>
    <w:rsid w:val="00B9001D"/>
    <w:rsid w:val="00B902B5"/>
    <w:rsid w:val="00B91BB9"/>
    <w:rsid w:val="00B92627"/>
    <w:rsid w:val="00B933F9"/>
    <w:rsid w:val="00B93DAF"/>
    <w:rsid w:val="00B95F6C"/>
    <w:rsid w:val="00B97F8F"/>
    <w:rsid w:val="00BA0D25"/>
    <w:rsid w:val="00BA0E74"/>
    <w:rsid w:val="00BA209D"/>
    <w:rsid w:val="00BA36CD"/>
    <w:rsid w:val="00BA5FF4"/>
    <w:rsid w:val="00BA6B17"/>
    <w:rsid w:val="00BB01C6"/>
    <w:rsid w:val="00BC353D"/>
    <w:rsid w:val="00BC4DEA"/>
    <w:rsid w:val="00BC5B9C"/>
    <w:rsid w:val="00BC7A70"/>
    <w:rsid w:val="00BC7EB1"/>
    <w:rsid w:val="00BD2419"/>
    <w:rsid w:val="00BD4B2F"/>
    <w:rsid w:val="00BE0C43"/>
    <w:rsid w:val="00BE1590"/>
    <w:rsid w:val="00BE355F"/>
    <w:rsid w:val="00BE3B44"/>
    <w:rsid w:val="00BF2D2A"/>
    <w:rsid w:val="00BF3E2E"/>
    <w:rsid w:val="00BF602A"/>
    <w:rsid w:val="00BF6A80"/>
    <w:rsid w:val="00BF6C48"/>
    <w:rsid w:val="00BF7A0C"/>
    <w:rsid w:val="00C01ED0"/>
    <w:rsid w:val="00C04FE0"/>
    <w:rsid w:val="00C13C9E"/>
    <w:rsid w:val="00C13E85"/>
    <w:rsid w:val="00C14EEB"/>
    <w:rsid w:val="00C15055"/>
    <w:rsid w:val="00C1574A"/>
    <w:rsid w:val="00C21471"/>
    <w:rsid w:val="00C22505"/>
    <w:rsid w:val="00C2394E"/>
    <w:rsid w:val="00C256E8"/>
    <w:rsid w:val="00C337A4"/>
    <w:rsid w:val="00C445F1"/>
    <w:rsid w:val="00C461F4"/>
    <w:rsid w:val="00C51D86"/>
    <w:rsid w:val="00C522D0"/>
    <w:rsid w:val="00C53AE2"/>
    <w:rsid w:val="00C555E8"/>
    <w:rsid w:val="00C57957"/>
    <w:rsid w:val="00C57D57"/>
    <w:rsid w:val="00C7326C"/>
    <w:rsid w:val="00C7545E"/>
    <w:rsid w:val="00C75CD0"/>
    <w:rsid w:val="00C760CA"/>
    <w:rsid w:val="00C76C0F"/>
    <w:rsid w:val="00C7789E"/>
    <w:rsid w:val="00C77994"/>
    <w:rsid w:val="00C81BD4"/>
    <w:rsid w:val="00C8210A"/>
    <w:rsid w:val="00C829D3"/>
    <w:rsid w:val="00C848D6"/>
    <w:rsid w:val="00C91776"/>
    <w:rsid w:val="00C9183B"/>
    <w:rsid w:val="00C93612"/>
    <w:rsid w:val="00C94621"/>
    <w:rsid w:val="00C94B4F"/>
    <w:rsid w:val="00C94F07"/>
    <w:rsid w:val="00C96259"/>
    <w:rsid w:val="00C97227"/>
    <w:rsid w:val="00CA0D4F"/>
    <w:rsid w:val="00CA203F"/>
    <w:rsid w:val="00CA26BA"/>
    <w:rsid w:val="00CA2D19"/>
    <w:rsid w:val="00CA2EA2"/>
    <w:rsid w:val="00CA6336"/>
    <w:rsid w:val="00CA7E70"/>
    <w:rsid w:val="00CB0310"/>
    <w:rsid w:val="00CB0554"/>
    <w:rsid w:val="00CB5DA2"/>
    <w:rsid w:val="00CB754C"/>
    <w:rsid w:val="00CC094E"/>
    <w:rsid w:val="00CC26A1"/>
    <w:rsid w:val="00CC374C"/>
    <w:rsid w:val="00CC642C"/>
    <w:rsid w:val="00CC6A5F"/>
    <w:rsid w:val="00CD0167"/>
    <w:rsid w:val="00CD2579"/>
    <w:rsid w:val="00CD3D02"/>
    <w:rsid w:val="00CD74F0"/>
    <w:rsid w:val="00CE7535"/>
    <w:rsid w:val="00CF3972"/>
    <w:rsid w:val="00CF6691"/>
    <w:rsid w:val="00D01D96"/>
    <w:rsid w:val="00D0474C"/>
    <w:rsid w:val="00D05475"/>
    <w:rsid w:val="00D1106D"/>
    <w:rsid w:val="00D12FDF"/>
    <w:rsid w:val="00D17194"/>
    <w:rsid w:val="00D20589"/>
    <w:rsid w:val="00D23AA2"/>
    <w:rsid w:val="00D27052"/>
    <w:rsid w:val="00D31FCF"/>
    <w:rsid w:val="00D33176"/>
    <w:rsid w:val="00D337FF"/>
    <w:rsid w:val="00D3729A"/>
    <w:rsid w:val="00D42267"/>
    <w:rsid w:val="00D42CFD"/>
    <w:rsid w:val="00D4644C"/>
    <w:rsid w:val="00D46A3B"/>
    <w:rsid w:val="00D52487"/>
    <w:rsid w:val="00D56466"/>
    <w:rsid w:val="00D619E4"/>
    <w:rsid w:val="00D641F3"/>
    <w:rsid w:val="00D66626"/>
    <w:rsid w:val="00D76DC6"/>
    <w:rsid w:val="00D83B01"/>
    <w:rsid w:val="00D86586"/>
    <w:rsid w:val="00D874B7"/>
    <w:rsid w:val="00D97732"/>
    <w:rsid w:val="00DA2BE0"/>
    <w:rsid w:val="00DA4081"/>
    <w:rsid w:val="00DA4E69"/>
    <w:rsid w:val="00DA5EB4"/>
    <w:rsid w:val="00DA6473"/>
    <w:rsid w:val="00DA7860"/>
    <w:rsid w:val="00DB1591"/>
    <w:rsid w:val="00DB2459"/>
    <w:rsid w:val="00DB77AD"/>
    <w:rsid w:val="00DC16DD"/>
    <w:rsid w:val="00DC32A1"/>
    <w:rsid w:val="00DC4BE4"/>
    <w:rsid w:val="00DC6457"/>
    <w:rsid w:val="00DD27D6"/>
    <w:rsid w:val="00DD45DE"/>
    <w:rsid w:val="00DD4B6B"/>
    <w:rsid w:val="00DD5FDB"/>
    <w:rsid w:val="00DD7718"/>
    <w:rsid w:val="00DE048C"/>
    <w:rsid w:val="00DE1B97"/>
    <w:rsid w:val="00DE4BA2"/>
    <w:rsid w:val="00DF10B8"/>
    <w:rsid w:val="00DF11D6"/>
    <w:rsid w:val="00DF57C8"/>
    <w:rsid w:val="00DF7AFD"/>
    <w:rsid w:val="00E00D56"/>
    <w:rsid w:val="00E01806"/>
    <w:rsid w:val="00E04C92"/>
    <w:rsid w:val="00E06F82"/>
    <w:rsid w:val="00E163B4"/>
    <w:rsid w:val="00E23603"/>
    <w:rsid w:val="00E27D19"/>
    <w:rsid w:val="00E30B85"/>
    <w:rsid w:val="00E31ECA"/>
    <w:rsid w:val="00E406A1"/>
    <w:rsid w:val="00E41620"/>
    <w:rsid w:val="00E43CEB"/>
    <w:rsid w:val="00E440DB"/>
    <w:rsid w:val="00E4470D"/>
    <w:rsid w:val="00E447FA"/>
    <w:rsid w:val="00E51538"/>
    <w:rsid w:val="00E52C42"/>
    <w:rsid w:val="00E55FA7"/>
    <w:rsid w:val="00E56406"/>
    <w:rsid w:val="00E57305"/>
    <w:rsid w:val="00E61DE6"/>
    <w:rsid w:val="00E635DB"/>
    <w:rsid w:val="00E6627D"/>
    <w:rsid w:val="00E66AF9"/>
    <w:rsid w:val="00E67D5B"/>
    <w:rsid w:val="00E74761"/>
    <w:rsid w:val="00E776C3"/>
    <w:rsid w:val="00E82C5D"/>
    <w:rsid w:val="00E84130"/>
    <w:rsid w:val="00E843F2"/>
    <w:rsid w:val="00E87E2F"/>
    <w:rsid w:val="00E900FA"/>
    <w:rsid w:val="00E93287"/>
    <w:rsid w:val="00E93965"/>
    <w:rsid w:val="00E942F8"/>
    <w:rsid w:val="00EA01F0"/>
    <w:rsid w:val="00EA0C92"/>
    <w:rsid w:val="00EA2215"/>
    <w:rsid w:val="00EA2FBA"/>
    <w:rsid w:val="00EA329D"/>
    <w:rsid w:val="00EA3D52"/>
    <w:rsid w:val="00EA5AC3"/>
    <w:rsid w:val="00EA758F"/>
    <w:rsid w:val="00EB01E4"/>
    <w:rsid w:val="00EB0E27"/>
    <w:rsid w:val="00EB2771"/>
    <w:rsid w:val="00EB27F2"/>
    <w:rsid w:val="00EB3900"/>
    <w:rsid w:val="00EC2279"/>
    <w:rsid w:val="00EC51AB"/>
    <w:rsid w:val="00EC7B83"/>
    <w:rsid w:val="00ED71A2"/>
    <w:rsid w:val="00EE148C"/>
    <w:rsid w:val="00EE3347"/>
    <w:rsid w:val="00EE65D3"/>
    <w:rsid w:val="00EE7EAE"/>
    <w:rsid w:val="00EF4AEA"/>
    <w:rsid w:val="00EF63D8"/>
    <w:rsid w:val="00F02298"/>
    <w:rsid w:val="00F023FD"/>
    <w:rsid w:val="00F0459E"/>
    <w:rsid w:val="00F057A5"/>
    <w:rsid w:val="00F05C8A"/>
    <w:rsid w:val="00F0768D"/>
    <w:rsid w:val="00F104D0"/>
    <w:rsid w:val="00F16746"/>
    <w:rsid w:val="00F17C58"/>
    <w:rsid w:val="00F22176"/>
    <w:rsid w:val="00F27E90"/>
    <w:rsid w:val="00F3120F"/>
    <w:rsid w:val="00F32738"/>
    <w:rsid w:val="00F4124E"/>
    <w:rsid w:val="00F412E0"/>
    <w:rsid w:val="00F413D7"/>
    <w:rsid w:val="00F428B1"/>
    <w:rsid w:val="00F44AAE"/>
    <w:rsid w:val="00F44E79"/>
    <w:rsid w:val="00F459AF"/>
    <w:rsid w:val="00F50374"/>
    <w:rsid w:val="00F509FA"/>
    <w:rsid w:val="00F55C56"/>
    <w:rsid w:val="00F5664E"/>
    <w:rsid w:val="00F65601"/>
    <w:rsid w:val="00F713B2"/>
    <w:rsid w:val="00F73A80"/>
    <w:rsid w:val="00F753E6"/>
    <w:rsid w:val="00F75A6F"/>
    <w:rsid w:val="00F776B7"/>
    <w:rsid w:val="00F80A01"/>
    <w:rsid w:val="00F83A48"/>
    <w:rsid w:val="00F85D65"/>
    <w:rsid w:val="00F86E16"/>
    <w:rsid w:val="00F87E80"/>
    <w:rsid w:val="00F90726"/>
    <w:rsid w:val="00F91287"/>
    <w:rsid w:val="00F9355F"/>
    <w:rsid w:val="00F94CC1"/>
    <w:rsid w:val="00F94E8E"/>
    <w:rsid w:val="00FA00B3"/>
    <w:rsid w:val="00FA08F8"/>
    <w:rsid w:val="00FA1D3B"/>
    <w:rsid w:val="00FA2FFF"/>
    <w:rsid w:val="00FA5EC9"/>
    <w:rsid w:val="00FA722B"/>
    <w:rsid w:val="00FA7597"/>
    <w:rsid w:val="00FB11C9"/>
    <w:rsid w:val="00FB1F74"/>
    <w:rsid w:val="00FB31D2"/>
    <w:rsid w:val="00FB66C4"/>
    <w:rsid w:val="00FC1532"/>
    <w:rsid w:val="00FC1D12"/>
    <w:rsid w:val="00FC20DF"/>
    <w:rsid w:val="00FC498E"/>
    <w:rsid w:val="00FC7D58"/>
    <w:rsid w:val="00FD439E"/>
    <w:rsid w:val="00FD5E80"/>
    <w:rsid w:val="00FD6574"/>
    <w:rsid w:val="00FE0B89"/>
    <w:rsid w:val="00FE392F"/>
    <w:rsid w:val="00FE4582"/>
    <w:rsid w:val="00FE5246"/>
    <w:rsid w:val="00FF56EF"/>
    <w:rsid w:val="099A5C14"/>
    <w:rsid w:val="0FA0157C"/>
    <w:rsid w:val="119205BD"/>
    <w:rsid w:val="14D32F08"/>
    <w:rsid w:val="172120C7"/>
    <w:rsid w:val="28164F13"/>
    <w:rsid w:val="2E055FFA"/>
    <w:rsid w:val="30AD7887"/>
    <w:rsid w:val="388C2868"/>
    <w:rsid w:val="39D7539B"/>
    <w:rsid w:val="3DD1570D"/>
    <w:rsid w:val="476944BD"/>
    <w:rsid w:val="4C491A39"/>
    <w:rsid w:val="500F2F4F"/>
    <w:rsid w:val="58535244"/>
    <w:rsid w:val="5D481FBE"/>
    <w:rsid w:val="60474CA8"/>
    <w:rsid w:val="618C5F2C"/>
    <w:rsid w:val="7202467C"/>
    <w:rsid w:val="72B15237"/>
    <w:rsid w:val="72C83502"/>
    <w:rsid w:val="FF9F2C75"/>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snapToGrid w:val="0"/>
      <w:spacing w:line="600" w:lineRule="exact"/>
      <w:ind w:firstLine="643" w:firstLineChars="200"/>
      <w:contextualSpacing/>
      <w:outlineLvl w:val="0"/>
    </w:pPr>
    <w:rPr>
      <w:rFonts w:ascii="黑体" w:hAnsi="黑体" w:eastAsia="黑体" w:cs="Times New Roman"/>
      <w:b/>
      <w:bCs/>
      <w:sz w:val="32"/>
      <w:szCs w:val="32"/>
    </w:rPr>
  </w:style>
  <w:style w:type="paragraph" w:styleId="3">
    <w:name w:val="heading 2"/>
    <w:basedOn w:val="1"/>
    <w:next w:val="1"/>
    <w:link w:val="25"/>
    <w:unhideWhenUsed/>
    <w:qFormat/>
    <w:uiPriority w:val="9"/>
    <w:pPr>
      <w:snapToGrid w:val="0"/>
      <w:spacing w:line="600" w:lineRule="exact"/>
      <w:ind w:firstLine="643" w:firstLineChars="200"/>
      <w:contextualSpacing/>
      <w:outlineLvl w:val="1"/>
    </w:pPr>
    <w:rPr>
      <w:rFonts w:ascii="Times New Roman" w:hAnsi="Times New Roman" w:eastAsia="楷体_GB2312" w:cs="Times New Roman"/>
      <w:b/>
      <w:bCs/>
      <w:sz w:val="32"/>
      <w:szCs w:val="32"/>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8"/>
    <w:unhideWhenUsed/>
    <w:qFormat/>
    <w:uiPriority w:val="99"/>
    <w:pPr>
      <w:jc w:val="left"/>
    </w:pPr>
  </w:style>
  <w:style w:type="paragraph" w:styleId="12">
    <w:name w:val="toc 3"/>
    <w:basedOn w:val="1"/>
    <w:next w:val="1"/>
    <w:unhideWhenUsed/>
    <w:qFormat/>
    <w:uiPriority w:val="39"/>
    <w:pPr>
      <w:ind w:left="840" w:leftChars="400"/>
    </w:pPr>
  </w:style>
  <w:style w:type="paragraph" w:styleId="13">
    <w:name w:val="footer"/>
    <w:basedOn w:val="1"/>
    <w:link w:val="42"/>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link w:val="43"/>
    <w:unhideWhenUsed/>
    <w:qFormat/>
    <w:uiPriority w:val="99"/>
    <w:pP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adjustRightInd w:val="0"/>
      <w:snapToGrid w:val="0"/>
      <w:spacing w:line="480" w:lineRule="exact"/>
    </w:pPr>
    <w:rPr>
      <w:rFonts w:ascii="Times New Roman" w:hAnsi="Times New Roman" w:eastAsia="黑体" w:cs="Times New Roman"/>
      <w:sz w:val="28"/>
      <w:szCs w:val="28"/>
    </w:rPr>
  </w:style>
  <w:style w:type="paragraph" w:styleId="16">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oc 2"/>
    <w:basedOn w:val="1"/>
    <w:next w:val="1"/>
    <w:unhideWhenUsed/>
    <w:qFormat/>
    <w:uiPriority w:val="39"/>
    <w:pPr>
      <w:tabs>
        <w:tab w:val="right" w:leader="dot" w:pos="8296"/>
      </w:tabs>
      <w:adjustRightInd w:val="0"/>
      <w:snapToGrid w:val="0"/>
      <w:spacing w:line="480" w:lineRule="exact"/>
    </w:pPr>
    <w:rPr>
      <w:rFonts w:ascii="Times New Roman" w:hAnsi="Times New Roman" w:eastAsia="楷体_GB2312" w:cs="Times New Roman"/>
      <w:sz w:val="28"/>
      <w:szCs w:val="28"/>
    </w:rPr>
  </w:style>
  <w:style w:type="paragraph" w:styleId="18">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1"/>
    <w:next w:val="11"/>
    <w:link w:val="49"/>
    <w:semiHidden/>
    <w:unhideWhenUsed/>
    <w:qFormat/>
    <w:uiPriority w:val="99"/>
    <w:rPr>
      <w:b/>
      <w:bCs/>
    </w:rPr>
  </w:style>
  <w:style w:type="character" w:styleId="22">
    <w:name w:val="Hyperlink"/>
    <w:basedOn w:val="21"/>
    <w:unhideWhenUsed/>
    <w:qFormat/>
    <w:uiPriority w:val="99"/>
    <w:rPr>
      <w:color w:val="467886" w:themeColor="hyperlink"/>
      <w:u w:val="single"/>
      <w14:textFill>
        <w14:solidFill>
          <w14:schemeClr w14:val="hlink"/>
        </w14:solidFill>
      </w14:textFill>
    </w:rPr>
  </w:style>
  <w:style w:type="character" w:styleId="23">
    <w:name w:val="annotation reference"/>
    <w:basedOn w:val="21"/>
    <w:semiHidden/>
    <w:unhideWhenUsed/>
    <w:qFormat/>
    <w:uiPriority w:val="99"/>
    <w:rPr>
      <w:sz w:val="21"/>
      <w:szCs w:val="21"/>
    </w:rPr>
  </w:style>
  <w:style w:type="character" w:customStyle="1" w:styleId="24">
    <w:name w:val="标题 1 字符"/>
    <w:basedOn w:val="21"/>
    <w:link w:val="2"/>
    <w:qFormat/>
    <w:uiPriority w:val="9"/>
    <w:rPr>
      <w:rFonts w:ascii="黑体" w:hAnsi="黑体" w:eastAsia="黑体" w:cs="Times New Roman"/>
      <w:b/>
      <w:bCs/>
      <w:sz w:val="32"/>
      <w:szCs w:val="32"/>
    </w:rPr>
  </w:style>
  <w:style w:type="character" w:customStyle="1" w:styleId="25">
    <w:name w:val="标题 2 字符"/>
    <w:basedOn w:val="21"/>
    <w:link w:val="3"/>
    <w:qFormat/>
    <w:uiPriority w:val="9"/>
    <w:rPr>
      <w:rFonts w:ascii="Times New Roman" w:hAnsi="Times New Roman" w:eastAsia="楷体_GB2312" w:cs="Times New Roman"/>
      <w:b/>
      <w:bCs/>
      <w:sz w:val="32"/>
      <w:szCs w:val="32"/>
    </w:rPr>
  </w:style>
  <w:style w:type="character" w:customStyle="1" w:styleId="26">
    <w:name w:val="标题 3 字符"/>
    <w:basedOn w:val="21"/>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1"/>
    <w:link w:val="5"/>
    <w:semiHidden/>
    <w:qFormat/>
    <w:uiPriority w:val="9"/>
    <w:rPr>
      <w:rFonts w:cstheme="majorBidi"/>
      <w:color w:val="104862" w:themeColor="accent1" w:themeShade="BF"/>
      <w:sz w:val="28"/>
      <w:szCs w:val="28"/>
    </w:rPr>
  </w:style>
  <w:style w:type="character" w:customStyle="1" w:styleId="28">
    <w:name w:val="标题 5 字符"/>
    <w:basedOn w:val="21"/>
    <w:link w:val="6"/>
    <w:semiHidden/>
    <w:qFormat/>
    <w:uiPriority w:val="9"/>
    <w:rPr>
      <w:rFonts w:cstheme="majorBidi"/>
      <w:color w:val="104862" w:themeColor="accent1" w:themeShade="BF"/>
      <w:sz w:val="24"/>
      <w:szCs w:val="24"/>
    </w:rPr>
  </w:style>
  <w:style w:type="character" w:customStyle="1" w:styleId="29">
    <w:name w:val="标题 6 字符"/>
    <w:basedOn w:val="21"/>
    <w:link w:val="7"/>
    <w:semiHidden/>
    <w:qFormat/>
    <w:uiPriority w:val="9"/>
    <w:rPr>
      <w:rFonts w:cstheme="majorBidi"/>
      <w:b/>
      <w:bCs/>
      <w:color w:val="104862" w:themeColor="accent1" w:themeShade="BF"/>
    </w:rPr>
  </w:style>
  <w:style w:type="character" w:customStyle="1" w:styleId="30">
    <w:name w:val="标题 7 字符"/>
    <w:basedOn w:val="2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1"/>
    <w:link w:val="18"/>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1"/>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1"/>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1"/>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1"/>
    <w:link w:val="39"/>
    <w:qFormat/>
    <w:uiPriority w:val="30"/>
    <w:rPr>
      <w:i/>
      <w:iCs/>
      <w:color w:val="104862" w:themeColor="accent1" w:themeShade="BF"/>
    </w:rPr>
  </w:style>
  <w:style w:type="character" w:customStyle="1" w:styleId="41">
    <w:name w:val="明显参考1"/>
    <w:basedOn w:val="21"/>
    <w:qFormat/>
    <w:uiPriority w:val="32"/>
    <w:rPr>
      <w:b/>
      <w:bCs/>
      <w:smallCaps/>
      <w:color w:val="104862" w:themeColor="accent1" w:themeShade="BF"/>
      <w:spacing w:val="5"/>
    </w:rPr>
  </w:style>
  <w:style w:type="character" w:customStyle="1" w:styleId="42">
    <w:name w:val="页脚 字符"/>
    <w:basedOn w:val="21"/>
    <w:link w:val="13"/>
    <w:qFormat/>
    <w:uiPriority w:val="99"/>
    <w:rPr>
      <w:rFonts w:ascii="Times New Roman" w:hAnsi="Times New Roman" w:eastAsia="宋体" w:cs="Times New Roman"/>
      <w:sz w:val="18"/>
      <w:szCs w:val="18"/>
    </w:rPr>
  </w:style>
  <w:style w:type="character" w:customStyle="1" w:styleId="43">
    <w:name w:val="页眉 字符"/>
    <w:basedOn w:val="21"/>
    <w:link w:val="14"/>
    <w:qFormat/>
    <w:uiPriority w:val="99"/>
    <w:rPr>
      <w:sz w:val="18"/>
      <w:szCs w:val="18"/>
    </w:rPr>
  </w:style>
  <w:style w:type="paragraph" w:customStyle="1" w:styleId="44">
    <w:name w:val="TOC 标题1"/>
    <w:basedOn w:val="2"/>
    <w:next w:val="1"/>
    <w:unhideWhenUsed/>
    <w:qFormat/>
    <w:uiPriority w:val="39"/>
    <w:pPr>
      <w:keepNext/>
      <w:keepLines/>
      <w:widowControl/>
      <w:snapToGrid/>
      <w:spacing w:before="240" w:line="259" w:lineRule="auto"/>
      <w:ind w:firstLine="0" w:firstLineChars="0"/>
      <w:contextualSpacing w:val="0"/>
      <w:jc w:val="left"/>
      <w:outlineLvl w:val="9"/>
    </w:pPr>
    <w:rPr>
      <w:rFonts w:asciiTheme="majorHAnsi" w:hAnsiTheme="majorHAnsi" w:eastAsiaTheme="majorEastAsia" w:cstheme="majorBidi"/>
      <w:b w:val="0"/>
      <w:bCs w:val="0"/>
      <w:color w:val="104862" w:themeColor="accent1" w:themeShade="BF"/>
      <w:kern w:val="0"/>
    </w:rPr>
  </w:style>
  <w:style w:type="paragraph" w:customStyle="1" w:styleId="45">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6">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7">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8">
    <w:name w:val="批注文字 字符"/>
    <w:basedOn w:val="21"/>
    <w:link w:val="11"/>
    <w:qFormat/>
    <w:uiPriority w:val="99"/>
    <w:rPr>
      <w:kern w:val="2"/>
      <w:sz w:val="21"/>
      <w:szCs w:val="22"/>
    </w:rPr>
  </w:style>
  <w:style w:type="character" w:customStyle="1" w:styleId="49">
    <w:name w:val="批注主题 字符"/>
    <w:basedOn w:val="48"/>
    <w:link w:val="19"/>
    <w:semiHidden/>
    <w:qFormat/>
    <w:uiPriority w:val="99"/>
    <w:rPr>
      <w:b/>
      <w:bCs/>
      <w:kern w:val="2"/>
      <w:sz w:val="21"/>
      <w:szCs w:val="22"/>
    </w:rPr>
  </w:style>
  <w:style w:type="paragraph" w:customStyle="1" w:styleId="50">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1">
    <w:name w:val="修订5"/>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52">
    <w:name w:val="niwuf1"/>
    <w:qFormat/>
    <w:uiPriority w:val="0"/>
    <w:rPr>
      <w:rFonts w:ascii="Times New Roman" w:hAnsi="Times New Roman" w:eastAsia="Times New Roman" w:cs="Times New Roman"/>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2D1E0-6776-4F4A-988B-C01805C3577D}">
  <ds:schemaRefs/>
</ds:datastoreItem>
</file>

<file path=docProps/app.xml><?xml version="1.0" encoding="utf-8"?>
<Properties xmlns="http://schemas.openxmlformats.org/officeDocument/2006/extended-properties" xmlns:vt="http://schemas.openxmlformats.org/officeDocument/2006/docPropsVTypes">
  <Template>Normal</Template>
  <Pages>28</Pages>
  <Words>15253</Words>
  <Characters>15435</Characters>
  <Lines>15</Lines>
  <Paragraphs>34</Paragraphs>
  <TotalTime>82</TotalTime>
  <ScaleCrop>false</ScaleCrop>
  <LinksUpToDate>false</LinksUpToDate>
  <CharactersWithSpaces>15516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2025-12-03T09:44:00Z</dcterms:created>
  <dc:creator>Vera Xu</dc:creator>
  <cp:lastModifiedBy>gulkiz</cp:lastModifiedBy>
  <cp:lastPrinted>2025-12-09T04:01:00Z</cp:lastPrinted>
  <dcterms:modified xsi:type="dcterms:W3CDTF">2026-02-28T09:34:44Z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eyJoZGlkIjoiYzE3ZWVhMmZkMGY4NDVkN2I1NTMxYjI2MzM5MzM1MmEiLCJ1c2VySWQiOiI2NTU3MjcyMzMifQ==</vt:lpwstr>
  </property>
  <property fmtid="{D5CDD505-2E9C-101B-9397-08002B2CF9AE}" pid="3" name="KSOProductBuildVer">
    <vt:lpwstr>2052-12.1.0.24657</vt:lpwstr>
  </property>
  <property fmtid="{D5CDD505-2E9C-101B-9397-08002B2CF9AE}" pid="4" name="ICV">
    <vt:lpwstr>2CE9653FE4D142AEB0D27259C2085527_13</vt:lpwstr>
  </property>
</Properties>
</file>